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jpg" ContentType="image/jpeg"/>
  <Override PartName="/word/media/rId154.jpg" ContentType="image/jpeg"/>
  <Override PartName="/word/media/rId160.jpg" ContentType="image/jpeg"/>
  <Override PartName="/word/media/rId156.jpg" ContentType="image/jpeg"/>
  <Override PartName="/word/media/rId158.jpg" ContentType="image/jpeg"/>
  <Override PartName="/word/media/rId150.jpg" ContentType="image/jpeg"/>
  <Override PartName="/word/media/rId162.jpg" ContentType="image/jpeg"/>
  <Override PartName="/word/media/rId147.jpg" ContentType="image/jpeg"/>
  <Override PartName="/word/media/rId152.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Analyzing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with</w:t>
      </w:r>
      <w:r>
        <w:t xml:space="preserve"> </w:t>
      </w:r>
      <w:r>
        <w:t xml:space="preserve">an</w:t>
      </w:r>
      <w:r>
        <w:t xml:space="preserve"> </w:t>
      </w:r>
      <w:r>
        <w:t xml:space="preserve">anomaly</w:t>
      </w:r>
      <w:r>
        <w:t xml:space="preserve"> </w:t>
      </w:r>
      <w:r>
        <w:t xml:space="preserve">approach</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t xml:space="preserve">D.</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use</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to</w:t>
      </w:r>
      <w:r>
        <w:t xml:space="preserve"> </w:t>
      </w:r>
      <w:r>
        <w:t xml:space="preserve">determine</w:t>
      </w:r>
      <w:r>
        <w:t xml:space="preserve"> </w:t>
      </w:r>
      <w:r>
        <w:t xml:space="preserve">if</w:t>
      </w:r>
      <w:r>
        <w:t xml:space="preserve"> </w:t>
      </w:r>
      <w:r>
        <w:t xml:space="preserve">there</w:t>
      </w:r>
      <w:r>
        <w:t xml:space="preserve"> </w:t>
      </w:r>
      <w:r>
        <w:t xml:space="preserve">are</w:t>
      </w:r>
      <w:r>
        <w:t xml:space="preserve"> </w:t>
      </w:r>
      <w:r>
        <w:t xml:space="preserve">sub-regional</w:t>
      </w:r>
      <w:r>
        <w:t xml:space="preserve"> </w:t>
      </w:r>
      <w:r>
        <w:t xml:space="preserve">(i.e. 3000km</w:t>
      </w:r>
      <w:r>
        <w:rPr>
          <w:vertAlign w:val="superscript"/>
        </w:rPr>
        <w:t xml:space="preserve">2</w:t>
      </w:r>
      <w:r>
        <w:t xml:space="preserve">)</w:t>
      </w:r>
      <w:r>
        <w:t xml:space="preserve"> </w:t>
      </w:r>
      <w:r>
        <w:t xml:space="preserve">water</w:t>
      </w:r>
      <w:r>
        <w:t xml:space="preserve"> </w:t>
      </w:r>
      <w:r>
        <w:t xml:space="preserve">quality</w:t>
      </w:r>
      <w:r>
        <w:t xml:space="preserve"> </w:t>
      </w:r>
      <w:r>
        <w:t xml:space="preserve">trends.</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sub-regional</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Total</w:t>
      </w:r>
      <w:r>
        <w:t xml:space="preserve"> </w:t>
      </w:r>
      <w:r>
        <w:t xml:space="preserve">phosphorus</w:t>
      </w:r>
      <w:r>
        <w:t xml:space="preserve"> </w:t>
      </w:r>
      <w:r>
        <w:t xml:space="preserve">does</w:t>
      </w:r>
      <w:r>
        <w:t xml:space="preserve"> </w:t>
      </w:r>
      <w:r>
        <w:t xml:space="preserve">show</w:t>
      </w:r>
      <w:r>
        <w:t xml:space="preserve"> </w:t>
      </w:r>
      <w:r>
        <w:t xml:space="preserve">a</w:t>
      </w:r>
      <w:r>
        <w:t xml:space="preserve"> </w:t>
      </w:r>
      <w:r>
        <w:t xml:space="preserve">very</w:t>
      </w:r>
      <w:r>
        <w:t xml:space="preserve"> </w:t>
      </w:r>
      <w:r>
        <w:t xml:space="preserve">slight</w:t>
      </w:r>
      <w:r>
        <w:t xml:space="preserve"> </w:t>
      </w:r>
      <w:r>
        <w:t xml:space="preserve">increase.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community</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bookmarkStart w:id="23" w:name="introduction"/>
    <w:p>
      <w:pPr>
        <w:pStyle w:val="Heading1"/>
      </w:pPr>
      <w:r>
        <w:t xml:space="preserve">Introduction</w:t>
      </w:r>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2009,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2016a,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approximately 400,000 km</w:t>
      </w:r>
      <w:r>
        <w:rPr>
          <w:vertAlign w:val="superscript"/>
        </w:rPr>
        <w:t xml:space="preserve">2</w:t>
      </w:r>
      <w:r>
        <w:t xml:space="preserve"> </w:t>
      </w:r>
      <w:r>
        <w:t xml:space="preserve">and 1,000,000 km</w:t>
      </w:r>
      <w:r>
        <w:rPr>
          <w:vertAlign w:val="superscript"/>
        </w:rPr>
        <w:t xml:space="preserve">2</w:t>
      </w:r>
      <w:r>
        <w:t xml:space="preserve"> </w:t>
      </w:r>
      <w:r>
        <w:t xml:space="preserve">respectively, have investigated spatial and temporal water quality trends and have demonstrated that drivers explaining changes spatially may not explain changes temporally. These differences may be due to complex interactions occurring at the different scales through time</w:t>
      </w:r>
      <w:r>
        <w:t xml:space="preserve"> </w:t>
      </w:r>
      <w:r>
        <w:t xml:space="preserve">(Lottig et al. 2017)</w:t>
      </w:r>
      <w:r>
        <w:t xml:space="preserve">. Additionally, differences between regions can cause nutrient (N and P) trends to have different drivers compared to ratios of the nutrients, and these may or may not align with sub-continental (i.e., ~ 1,800,000 km</w:t>
      </w:r>
      <w:r>
        <w:t xml:space="preserve"> </w:t>
      </w:r>
      <w:r>
        <w:rPr>
          <w:vertAlign w:val="superscript"/>
        </w:rPr>
        <w:t xml:space="preserve">2</w:t>
      </w:r>
      <w:r>
        <w:t xml:space="preserve">) trends</w:t>
      </w:r>
      <w:r>
        <w:t xml:space="preserve"> </w:t>
      </w:r>
      <w:r>
        <w:t xml:space="preserve">(Collins et al. 2017)</w:t>
      </w:r>
      <w:r>
        <w:t xml:space="preserve">. Similarly,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 regions</w:t>
      </w:r>
      <w:r>
        <w:t xml:space="preserve"> </w:t>
      </w:r>
      <w:r>
        <w:t xml:space="preserve">(Filstrup et al. 2014, 2018)</w:t>
      </w:r>
      <w:r>
        <w:t xml:space="preserve">. Furthermore,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In this study, we focus on the state of Rhode Island for several reasons. Rhode Island has the second highest population density in the country, yet still has a mix of land use/land cover with developed areas making up ~21% of the state, forested areas ~37%, wetlands ~11%, and agriculture ~3%. The remainder of the land area is made up other land use/land cover classes. Given these facts, Rhode Island lakes occur across a gradient of land use/land cover and face a suite of human pressures that most lakes in the nation are also facing with nutrients and pathogens being of particular concern in the state</w:t>
      </w:r>
      <w:r>
        <w:t xml:space="preserve"> </w:t>
      </w:r>
      <w:r>
        <w:t xml:space="preserve">(Rhode Island Division of Planning 2016)</w:t>
      </w:r>
      <w:r>
        <w:t xml:space="preserve">. Lastly, Rhode Island provides an ideal study area as significant, long-term datasets are available for lakes making it possible to examine water quality trends.</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1">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https://doi.org/10.5281/zenodo.4050275</w:t>
        </w:r>
      </w:hyperlink>
      <w:r>
        <w:t xml:space="preserve"> </w:t>
      </w:r>
      <w:r>
        <w:t xml:space="preserve">(Soranno et al. 2017, 2019, Stachelek and Oliver 2017, Hollister et al. 2020b)</w:t>
      </w:r>
      <w:r>
        <w:t xml:space="preserve">.</w:t>
      </w:r>
    </w:p>
    <w:bookmarkEnd w:id="23"/>
    <w:bookmarkStart w:id="32" w:name="methods"/>
    <w:p>
      <w:pPr>
        <w:pStyle w:val="Heading1"/>
      </w:pPr>
      <w:r>
        <w:t xml:space="preserve">Methods</w:t>
      </w:r>
    </w:p>
    <w:bookmarkStart w:id="29" w:name="study-area-and-data"/>
    <w:p>
      <w:pPr>
        <w:pStyle w:val="Heading2"/>
      </w:pPr>
      <w:r>
        <w:t xml:space="preserve">Study Area and Data</w:t>
      </w:r>
    </w:p>
    <w:p>
      <w:pPr>
        <w:pStyle w:val="FirstParagraph"/>
      </w:pPr>
      <w:r>
        <w:t xml:space="preserve">The study area for this analysis includes lakes and reservoirs in the state of Rhode Island where data were collected by the University of Rhode Island’s Watershed Watch program (Figure 1) which allows for the examination of long-term trends in Rhode Island lakes. The University of Rhode Island’s Watershed Watch (URIWW) is a scientist-led community science program founded in the late 1980s that has built a robust collaboration between URI scientists and a vast network of volunteer monitors. Volunteer monitors are trained and then collect field data (e.g., sonde measurements or Secchi depth) as well as whole water samples during the growing season (e.g., May through October) for later analysis in the lab. The entire effort follows rigorous quality control/quality assurance protocols. These types of community science efforts allow for the collection of reliable data that in turn lead to crucial and frequently unexpected insights</w:t>
      </w:r>
      <w:r>
        <w:t xml:space="preserve"> </w:t>
      </w:r>
      <w:r>
        <w:t xml:space="preserve">(Dickinson et al. 2012, Kosmala et al. 2016, Oliver et al. 2017)</w:t>
      </w:r>
      <w:r>
        <w:t xml:space="preserve">.</w:t>
      </w:r>
    </w:p>
    <w:p>
      <w:pPr>
        <w:pStyle w:val="BodyText"/>
      </w:pPr>
      <w:r>
        <w:t xml:space="preserve">URIWW data are included in the LAGOSNE and contributed to the larger regional study by Oliver et al.</w:t>
      </w:r>
      <w:r>
        <w:t xml:space="preserve"> </w:t>
      </w:r>
      <w:r>
        <w:t xml:space="preserve">(2017)</w:t>
      </w:r>
      <w:r>
        <w:t xml:space="preserve">, which also allowed us to examine the long-term trends specifically in Rhode Island. The URIWW program began in 1988, monitoring 14 lakes and has now grown to include over 250 monitoring locations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lakes and reservoirs (hereafter, referred to as sites) that matched the following criteria: 1) were sampled between 1993 and 2016, 2) were sampled in May to October, 3) had at least one sampling event per year in May through June, at least one sampling event per year in July through August, and at least one sampling event per year in September through October, 4) had at least one sampling event from 1993-2004 and 2005-2016, and 5)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4">
        <w:r>
          <w:rPr>
            <w:rStyle w:val="Hyperlink"/>
          </w:rPr>
          <w:t xml:space="preserve">https://web.uri.edu/watershedwatch/uri-watershed-watch-monitoring-manuals/</w:t>
        </w:r>
      </w:hyperlink>
      <w:r>
        <w:t xml:space="preserve"> </w:t>
      </w:r>
      <w:r>
        <w:t xml:space="preserve">and</w:t>
      </w:r>
      <w:r>
        <w:t xml:space="preserve"> </w:t>
      </w:r>
      <w:hyperlink r:id="rId25">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w:t>
      </w:r>
      <w:r>
        <w:t xml:space="preserve"> </w:t>
      </w:r>
      <w:r>
        <w:t xml:space="preserve">(2017)</w:t>
      </w:r>
      <w:r>
        <w:t xml:space="preserve">, the LAGOSNE dataset</w:t>
      </w:r>
      <w:r>
        <w:t xml:space="preserve"> </w:t>
      </w:r>
      <w:r>
        <w:t xml:space="preserve">(Soranno et al. 2015, Soranno et al.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the time of our analysis, the LAGOSNE data do not extend beyond 2013 thus sites needed to have a sampling event in 1993-2002 and in 2003-2013 to be included.</w:t>
      </w:r>
    </w:p>
    <w:p>
      <w:pPr>
        <w:pStyle w:val="BodyText"/>
      </w:pPr>
      <w:r>
        <w:t xml:space="preserve">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Agriculture, Forest, and Developed. The maximum lake depth is from various sources and lake area is calculated from the National Hydrography Dataset waterbody polygons. Additional details are available in Soranno et al.</w:t>
      </w:r>
      <w:r>
        <w:t xml:space="preserve"> </w:t>
      </w:r>
      <w:r>
        <w:t xml:space="preserve">(2017)</w:t>
      </w:r>
      <w:r>
        <w:t xml:space="preserve">.</w:t>
      </w:r>
    </w:p>
    <w:p>
      <w:pPr>
        <w:pStyle w:val="BodyText"/>
      </w:pPr>
      <w:r>
        <w:t xml:space="preserve">Lastly, data and code for the entire analysis is available from</w:t>
      </w:r>
      <w:r>
        <w:t xml:space="preserve"> </w:t>
      </w:r>
      <w:hyperlink r:id="rId26">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https://doi.org/10.5281/zenodo.4050275</w:t>
        </w:r>
      </w:hyperlink>
      <w:r>
        <w:t xml:space="preserve"> </w:t>
      </w:r>
      <w:r>
        <w:t xml:space="preserve">(Hollister et al. 2020b)</w:t>
      </w:r>
      <w:r>
        <w:t xml:space="preserve">. All analyses were conducted with R version 4.0.3 and details on R package versions and operating system used for this analysis are included in a file,</w:t>
      </w:r>
      <w:r>
        <w:t xml:space="preserve"> </w:t>
      </w:r>
      <w:r>
        <w:rPr>
          <w:rStyle w:val="VerbatimChar"/>
        </w:rPr>
        <w:t xml:space="preserve">sessioninfo.txt</w:t>
      </w:r>
      <w:r>
        <w:t xml:space="preserve"> </w:t>
      </w:r>
      <w:r>
        <w:t xml:space="preserve">at</w:t>
      </w:r>
      <w:r>
        <w:t xml:space="preserve"> </w:t>
      </w:r>
      <w:hyperlink r:id="rId27">
        <w:r>
          <w:rPr>
            <w:rStyle w:val="Hyperlink"/>
          </w:rPr>
          <w:t xml:space="preserve">https://github.com/USEPA/ri_wq_trends/blob/master/sessioninfo.txt</w:t>
        </w:r>
      </w:hyperlink>
      <w:r>
        <w:t xml:space="preserve"> </w:t>
      </w:r>
      <w:r>
        <w:t xml:space="preserve">(Grolemund and Wickham 2011, McLeod 2011, Alathea 2015, Xie 2015, 2020, Pebesma et al. 2016, Wickham 2016, 2019, 2020, Daróczi and Tsegelskyi 2018, Mullen 2018, Mullen and Bratt 2018, Pebesma 2018, Wickham and Bryan 2019, Bocinsky 2020, Hollister et al. 2020a, Müller 2020, R Core Team 2020, Robinson et al. 2020, Rudis 2020, Walker and Herman 2020, Wickham et al. 2020, Wickham and Hester 2020, Wilke 2020)</w:t>
      </w:r>
      <w:r>
        <w:t xml:space="preserve">. Values included in each of the figures have also been separately saved as a comma-separated values file,</w:t>
      </w:r>
      <w:r>
        <w:t xml:space="preserve"> </w:t>
      </w:r>
      <w:r>
        <w:rPr>
          <w:rStyle w:val="VerbatimChar"/>
        </w:rPr>
        <w:t xml:space="preserve">yearly_average_anomaly.csv</w:t>
      </w:r>
      <w:r>
        <w:t xml:space="preserve">, and may be retrieved via</w:t>
      </w:r>
      <w:r>
        <w:t xml:space="preserve"> </w:t>
      </w:r>
      <w:hyperlink r:id="rId28">
        <w:r>
          <w:rPr>
            <w:rStyle w:val="Hyperlink"/>
          </w:rPr>
          <w:t xml:space="preserve">https://github.com/USEPA/ri_wq_trends/blob/master/data/yearly_average_anomaly.csv</w:t>
        </w:r>
      </w:hyperlink>
      <w:r>
        <w:t xml:space="preserve">.</w:t>
      </w:r>
    </w:p>
    <w:bookmarkEnd w:id="29"/>
    <w:bookmarkStart w:id="31" w:name="water-quality-trend-analysis"/>
    <w:p>
      <w:pPr>
        <w:pStyle w:val="Heading2"/>
      </w:pPr>
      <w:r>
        <w:t xml:space="preserve">Water Quality Trend Analysis</w:t>
      </w:r>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sites is how to identify a trend while there is variation within a sampling location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degraded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variables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p>
    <w:p>
      <w:pPr>
        <w:pStyle w:val="BodyText"/>
      </w:pPr>
      <w:r>
        <w:rPr>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hyperlink r:id="rId30">
        <w:r>
          <w:rPr>
            <w:rStyle w:val="Hyperlink"/>
          </w:rPr>
          <w:t xml:space="preserve">https://github.com/usepa/ri_wq_trends/blob/master/R/schematic_anomaly.R</w:t>
        </w:r>
      </w:hyperlink>
      <w:r>
        <w:t xml:space="preserve"> </w:t>
      </w:r>
      <w:r>
        <w:t xml:space="preserve">and is archived at</w:t>
      </w:r>
      <w:r>
        <w:t xml:space="preserve"> </w:t>
      </w:r>
      <w:hyperlink r:id="rId22">
        <w:r>
          <w:rPr>
            <w:rStyle w:val="Hyperlink"/>
          </w:rPr>
          <w:t xml:space="preserve">https://doi.org/10.5281/zenodo.4050275</w:t>
        </w:r>
      </w:hyperlink>
      <w:r>
        <w:t xml:space="preserve"> </w:t>
      </w:r>
      <w:r>
        <w:t xml:space="preserve">(Hollister et al. 2020b)</w:t>
      </w:r>
      <w:r>
        <w:t xml:space="preserve">.</w:t>
      </w:r>
    </w:p>
    <w:p>
      <w:pPr>
        <w:pStyle w:val="BodyText"/>
      </w:pPr>
      <w:r>
        <w:t xml:space="preserve">The general steps, outlined in Figure 2 and listed below, are repeated for each of the water quality parameters.</w:t>
      </w:r>
    </w:p>
    <w:p>
      <w:pPr>
        <w:numPr>
          <w:ilvl w:val="0"/>
          <w:numId w:val="1001"/>
        </w:numPr>
        <w:pStyle w:val="Compact"/>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numPr>
          <w:ilvl w:val="0"/>
          <w:numId w:val="1001"/>
        </w:numPr>
        <w:pStyle w:val="Compact"/>
      </w:pPr>
      <w:r>
        <w:t xml:space="preserve">Calculate the long-term reference median for each site. This results in a single site-specific long-term median.</w:t>
      </w:r>
    </w:p>
    <w:p>
      <w:pPr>
        <w:numPr>
          <w:ilvl w:val="0"/>
          <w:numId w:val="1001"/>
        </w:numPr>
        <w:pStyle w:val="Compact"/>
      </w:pPr>
      <w:r>
        <w:t xml:space="preserve">Calculate the anomaly for each annual median at each site by subtracting the sites reference long-term medians from the sites yearly median.</w:t>
      </w:r>
    </w:p>
    <w:p>
      <w:pPr>
        <w:numPr>
          <w:ilvl w:val="0"/>
          <w:numId w:val="1001"/>
        </w:numPr>
        <w:pStyle w:val="Compact"/>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and late in the time frame for the LAGOSNE data (Figure 3).</w:t>
      </w:r>
    </w:p>
    <w:p>
      <w:pPr>
        <w:pStyle w:val="BodyText"/>
      </w:pPr>
      <w:r>
        <w:rPr>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look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evaluated trends based on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or, the state of Rhode Island criteria for temperature increase is 2.2°C or 0.022°C per year over a century</w:t>
      </w:r>
      <w:r>
        <w:t xml:space="preserve"> </w:t>
      </w:r>
      <w:r>
        <w:t xml:space="preserve">(State of Rhode Island Department of Environmental Management Office of Water Resources 2010, United Nations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w:t>
      </w:r>
    </w:p>
    <w:p>
      <w:pPr>
        <w:pStyle w:val="BodyText"/>
      </w:pPr>
      <w:r>
        <w:t xml:space="preserve">For changes in chlorophyll, total phosphorus, and total nitrogen, we define an ecologically meaningful trend as one that would result in any oligotrophic lake changing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A slope at or above these values would result in a oligotrophic-mesotrophic transition for all oligotrophic lakes, even lakes with the impossible situation of chlorophyll, total nitrogen, or total phosphorus concentrations of zero.</w:t>
      </w:r>
    </w:p>
    <w:p>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w:t>
      </w:r>
      <w:r>
        <w:t xml:space="preserve"> </w:t>
      </w:r>
      <w:r>
        <w:t xml:space="preserve">(Downing and McCauley 1992)</w:t>
      </w:r>
      <w:r>
        <w:t xml:space="preserve">. In Downing and McCauley</w:t>
      </w:r>
      <w:r>
        <w:t xml:space="preserve"> </w:t>
      </w:r>
      <w:r>
        <w:t xml:space="preserve">(1992)</w:t>
      </w:r>
      <w:r>
        <w:t xml:space="preserve">,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total nitrogen: 3.5, total phosphorus: 0.1, TN:TP: 0.26) will be considered to have an ecologically meaningful trend.</w:t>
      </w:r>
    </w:p>
    <w:p>
      <w:pPr>
        <w:pStyle w:val="BodyText"/>
      </w:pPr>
      <w:r>
        <w:rPr>
          <w:i/>
        </w:rPr>
        <w:t xml:space="preserve">Comparison of Rhode Island to the region:</w:t>
      </w:r>
      <w:r>
        <w:t xml:space="preserve"> </w:t>
      </w:r>
      <w:r>
        <w:t xml:space="preserve">Oliver et al.</w:t>
      </w:r>
      <w:r>
        <w:t xml:space="preserve">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bookmarkEnd w:id="31"/>
    <w:bookmarkEnd w:id="32"/>
    <w:bookmarkStart w:id="35" w:name="results"/>
    <w:p>
      <w:pPr>
        <w:pStyle w:val="Heading1"/>
      </w:pPr>
      <w:r>
        <w:t xml:space="preserve">Results</w:t>
      </w:r>
    </w:p>
    <w:p>
      <w:pPr>
        <w:pStyle w:val="FirstParagraph"/>
      </w:pPr>
      <w:r>
        <w:t xml:space="preserve">Lakes and reservoirs in Rhode Island tended to be smaller and shallower, on average, than lakes included in the complete LAGOSNE region (Table 1). Also, Rhode Island lakes tended to occur in landscapes (i.e. a 500 meter buffer) with a lower average percent agriculture, more developed land, and comparable forested area than lakes in the LAGOSNE region (Table 1).</w:t>
      </w:r>
    </w:p>
    <w:p>
      <w:pPr>
        <w:pStyle w:val="BodyText"/>
      </w:pPr>
      <w:r>
        <w:t xml:space="preserve">During the period of 1993 to 2016, Rhode Island lakes and reservoirs in our dataset of surface and epilimnion measurements had a median lake temperature of 23 °C, median TN of 460 µg/l, median TP of 15 µg/l, median TN:TP ratio of 68.1 molar, and median chlorophyll</w:t>
      </w:r>
      <w:r>
        <w:t xml:space="preserve"> </w:t>
      </w:r>
      <w:r>
        <w:rPr>
          <w:i/>
        </w:rPr>
        <w:t xml:space="preserve">a</w:t>
      </w:r>
      <w:r>
        <w:t xml:space="preserve"> </w:t>
      </w:r>
      <w:r>
        <w:t xml:space="preserve">of 3.5 µg/l (Table 2).</w:t>
      </w:r>
    </w:p>
    <w:p>
      <w:pPr>
        <w:pStyle w:val="BodyText"/>
      </w:pPr>
      <w:r>
        <w:t xml:space="preserve">For lakes and reservoirs in the larger region represented by the LAGOSNE States, median TN was 560 µg/l, median TP was 16 µg/l, median TN:TP ratio was 61.95 molar, and median chlorophyll</w:t>
      </w:r>
      <w:r>
        <w:t xml:space="preserve"> </w:t>
      </w:r>
      <w:r>
        <w:rPr>
          <w:i/>
        </w:rPr>
        <w:t xml:space="preserve">a</w:t>
      </w:r>
      <w:r>
        <w:t xml:space="preserve"> </w:t>
      </w:r>
      <w:r>
        <w:t xml:space="preserve">was 6.5 µg/l (Table 3).</w:t>
      </w:r>
    </w:p>
    <w:p>
      <w:pPr>
        <w:pStyle w:val="BodyText"/>
      </w:pPr>
      <w:r>
        <w:t xml:space="preserve">On average, the Rhode Island lakes and reservoirs show lower concentrations of nutrients with more nitrogen relative to phosphorus than in the larger LAGOSNE region (Table 2, Table 3). Chlorophyll concentrations also show lower average concentrations in Rhode Island (Table 2, Table 3). Furthermore, the distribution of chlorophyll based trophic state also shows a larger percentage of oligotrophic and mesotrophic lakes in Rhode Island and more eutrophic and hypereutrophic lakes in the larger LAGOSNE region (Table 4;</w:t>
      </w:r>
      <w:r>
        <w:t xml:space="preserve"> </w:t>
      </w:r>
      <w:r>
        <w:t xml:space="preserve">(Nürnberg 1996)</w:t>
      </w:r>
      <w:r>
        <w:t xml:space="preserve">). These results follow what would be expected given that, on average, LAGOSNE lakes are more dominated by agricultural lands than are Rhode Island lakes (Table 1).</w:t>
      </w:r>
    </w:p>
    <w:bookmarkStart w:id="33" w:name="state-wide-trends-in-water-quality"/>
    <w:p>
      <w:pPr>
        <w:pStyle w:val="Heading2"/>
      </w:pPr>
      <w:r>
        <w:t xml:space="preserve">State-wide trends in water quality</w:t>
      </w:r>
    </w:p>
    <w:p>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4, Table 5). Chlorophyll</w:t>
      </w:r>
      <w:r>
        <w:t xml:space="preserve"> </w:t>
      </w:r>
      <w:r>
        <w:rPr>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5A., Table 5).</w:t>
      </w:r>
    </w:p>
    <w:p>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6A). Also, 1998 only had three sites with available total nitrogen data and may not be representative. This year also recorded the lowest median value. Thus, 1998 may be skewing these results. When this year is removed, the slope of the line is 0.39 and the p-value is 0.53. Thus, we interpret this as no trend in total nitrogen (Table 5). Total phosphorus shows essentially no trend over time in the yearly anomalies with little statistical support (slope = 0.0083 , p = 0.86) and years that are over the median do not show any pattern (Figure 7A., Table 5).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8A., Table 5).</w:t>
      </w:r>
    </w:p>
    <w:bookmarkEnd w:id="33"/>
    <w:bookmarkStart w:id="34" w:name="regional-trends-in-water-quality"/>
    <w:p>
      <w:pPr>
        <w:pStyle w:val="Heading2"/>
      </w:pPr>
      <w:r>
        <w:t xml:space="preserve">Regional trends in water quality</w:t>
      </w:r>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very weak positive trend, slight statistical support and above average years spread evenly throughout the time period (slope = 0.015, p = 0.26, Figure 5B., Table 5). Total nitrogen showed a slight decreasing trend with weak statistical support and slope less than the 3.5 μg/L that would result in a trophic state change over a century, thus there is little support for a meaningful trend in TN at the regional scale (slope = -0.29, p = 0.74, Figure 6B., Table 5). Furthermore, The last two years for which LAGOSNE had data on total nitrogen were from a relatively smaller number of sites (Figure 3) and those values may not be representative. Total phosphorus showed a very small increasing trend and there is statistical support for that trend. The slope however suggests little support for an ecological meaningful change in total phosphorus (slope = 0.05, p = 0.013, Figure 7B., Table 5). Lastly, the TN:TP ratio showed little change (slope = 0.062, p = 0.64, Figure 8B., Table 5) as none of our criteria for a trend were met. Although, there appears to be a non-linear trend that suggests increasing TN:TP early in the time period and decreasing TN:TP later, we feel we cannot effectively evaluate this though as total nitrogen measurements were rare in 2011 (Figure 3) and sites that had both nitrogen and phosphorus were even rarer. This low median anomaly should be interpreted with this caveat in mind. Taken together we feel our results largely match the findings of Oliver et al.</w:t>
      </w:r>
      <w:r>
        <w:t xml:space="preserve"> </w:t>
      </w:r>
      <w:r>
        <w:t xml:space="preserve">(2017)</w:t>
      </w:r>
      <w:r>
        <w:t xml:space="preserve"> </w:t>
      </w:r>
      <w:r>
        <w:t xml:space="preserve">that there is stasis in lake nutrients and chlorophyll within the LAGOSNE region.</w:t>
      </w:r>
    </w:p>
    <w:bookmarkEnd w:id="34"/>
    <w:bookmarkEnd w:id="35"/>
    <w:bookmarkStart w:id="39" w:name="discussion-and-conclusions"/>
    <w:p>
      <w:pPr>
        <w:pStyle w:val="Heading1"/>
      </w:pPr>
      <w:r>
        <w:t xml:space="preserve">Discussion and Conclusions</w:t>
      </w:r>
    </w:p>
    <w:p>
      <w:pPr>
        <w:pStyle w:val="FirstParagraph"/>
      </w:pPr>
      <w:r>
        <w:t xml:space="preserve">Our sub-regional analysis indicates that increases in primary production, as measured by chlorophyll</w:t>
      </w:r>
      <w:r>
        <w:t xml:space="preserve"> </w:t>
      </w:r>
      <w:r>
        <w:rPr>
          <w:i/>
        </w:rPr>
        <w:t xml:space="preserve">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w:t>
      </w:r>
      <w:r>
        <w:t xml:space="preserve"> </w:t>
      </w:r>
      <w:r>
        <w:rPr>
          <w:i/>
        </w:rPr>
        <w:t xml:space="preserve">a</w:t>
      </w:r>
      <w:r>
        <w:t xml:space="preserve"> </w:t>
      </w:r>
      <w:r>
        <w:t xml:space="preserve">and temperature is increasing with less obvious trends in nutrients is interesting and warrants further exploration to see if increasing chlorophyll</w:t>
      </w:r>
      <w:r>
        <w:t xml:space="preserve"> </w:t>
      </w:r>
      <w:r>
        <w:rPr>
          <w:i/>
        </w:rPr>
        <w:t xml:space="preserve">a</w:t>
      </w:r>
      <w:r>
        <w:t xml:space="preserve"> </w:t>
      </w:r>
      <w:r>
        <w:t xml:space="preserve">can be described by temperature. Also, geographic extent does indeed matter when trying to identify long-term water quality trends. Similar to the results of Oliver et al.</w:t>
      </w:r>
      <w:r>
        <w:t xml:space="preserve">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bookmarkStart w:id="36" w:name="trends"/>
    <w:p>
      <w:pPr>
        <w:pStyle w:val="Heading2"/>
      </w:pPr>
      <w:r>
        <w:t xml:space="preserve">Trends</w:t>
      </w:r>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(Table 5). However, 2006 and 2009 stand out as not following this trend for temperature. Average May-October air temperature for 2009 was third lowest on record for the 1993 to 2016 time period and also showed the lowest maximum temperatures</w:t>
      </w:r>
      <w:r>
        <w:t xml:space="preserve"> </w:t>
      </w:r>
      <w:r>
        <w:t xml:space="preserve">(NOAA National Center for Environmental Information 2020)</w:t>
      </w:r>
      <w:r>
        <w:t xml:space="preserve">. On the other hand, 2006 was not unusually cool (11th lowest out of 24 years) but it was the wettest year on record for this period</w:t>
      </w:r>
      <w:r>
        <w:t xml:space="preserve"> </w:t>
      </w:r>
      <w:r>
        <w:t xml:space="preserve">(NOAA National Center for Environmental Information 2020)</w:t>
      </w:r>
      <w:r>
        <w:t xml:space="preserve">. These unusual weather patterns may help explain why 2006 and 2009 did not follow the trend.</w:t>
      </w:r>
    </w:p>
    <w:p>
      <w:pPr>
        <w:pStyle w:val="BodyText"/>
      </w:pPr>
      <w:r>
        <w:t xml:space="preserve">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5).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these nutrient reductions may not result in nutrient limitation and when when faced with other changes (e.g. temperature increases) increasing chlorophyll</w:t>
      </w:r>
      <w:r>
        <w:t xml:space="preserve"> </w:t>
      </w:r>
      <w:r>
        <w:rPr>
          <w:i/>
        </w:rPr>
        <w:t xml:space="preserve">a</w:t>
      </w:r>
      <w:r>
        <w:t xml:space="preserve"> </w:t>
      </w:r>
      <w:r>
        <w:t xml:space="preserve">may still occur. Additionally, our analysis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impervious surface in a catchment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sub-regional annualized trends of the five variables we address with this study, other trends may also be of interest. For example, a lengthening of the growing season could increase the number of days with conditions that favor the growth of harmful algal blooms as cyanobacteria grow better at temperatures greater than than 25°C</w:t>
      </w:r>
      <w:r>
        <w:t xml:space="preserve"> </w:t>
      </w:r>
      <w:r>
        <w:t xml:space="preserve">(Reynolds 2006, Jöhnk et al. 2008, Paerl and Huisman 2008)</w:t>
      </w:r>
      <w:r>
        <w:t xml:space="preserve">. Many national and regional studies have also documented longer growing seasons</w:t>
      </w:r>
      <w:r>
        <w:t xml:space="preserve"> </w:t>
      </w:r>
      <w:r>
        <w:t xml:space="preserve">(Cooter and Leduc 1995, Kunkel et al. 2004, e.g., Vega et al. 2019)</w:t>
      </w:r>
      <w:r>
        <w:t xml:space="preserve">. Evidence in Rhode Island also points to possible lengthening of the growing season as both May and October, the beginning and end of the sampling dates in our dataset, show increasing temperature trends over time</w:t>
      </w:r>
      <w:r>
        <w:t xml:space="preserve"> </w:t>
      </w:r>
      <w:r>
        <w:t xml:space="preserve">(NOAA National Center for Environmental Information 2020)</w:t>
      </w:r>
      <w:r>
        <w:t xml:space="preserve">. Furthermore, preliminary analysis of the URIWW data supports the idea that growing seasons may be getting longer in Rhode Island. Early in our study period (1993-1995), the average first day of lake temperatures exceeding 25°C was June 11th, at the end of our study period (2014-2016) these warmer temperature were seen, on average, on June 1st. A site-specific anomaly analysis of growing season length could shed further light on potential changes to growing seasons in Rhode Island lakes.</w:t>
      </w:r>
    </w:p>
    <w:p>
      <w:pPr>
        <w:pStyle w:val="BodyText"/>
      </w:pPr>
      <w:r>
        <w:t xml:space="preserve">Trends, and their ecological importance, could also vary depending on trophic state of a given waterbody. We identified a minimum ecologically important change of 0.035 µg/l per year of chlorophyll. This magnitude of change would result in a shift for any oligotrophic lake to a mesotrophic state; whereas, for any mesotrophic lake to become eutrophic over a century would require a change of 0.055 µg/l per year. Examining these trends by trophic state provides the ability to look for ecologically important changes across the range of trophic state and not rely only on a single rate for all lakes. Furthermore, Stoddard et al.</w:t>
      </w:r>
      <w:r>
        <w:t xml:space="preserve"> </w:t>
      </w:r>
      <w:r>
        <w:t xml:space="preserve">(2016)</w:t>
      </w:r>
      <w:r>
        <w:t xml:space="preserve"> </w:t>
      </w:r>
      <w:r>
        <w:t xml:space="preserve">report an 18.2% reduction in the number of oligotrophic lakes in the United States from 2007 to 2012. A site-specific anomaly analysis by trophic state would identify trends, such as those seen in Stoddard et al.</w:t>
      </w:r>
      <w:r>
        <w:t xml:space="preserve"> </w:t>
      </w:r>
      <w:r>
        <w:t xml:space="preserve">(2016)</w:t>
      </w:r>
      <w:r>
        <w:t xml:space="preserve">, that might be occurring only on oligotrophic lakes. A full analysis and interpretation of trends by trophic state is beyond the scope of this study. However, we conducted a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w:t>
      </w:r>
    </w:p>
    <w:bookmarkEnd w:id="36"/>
    <w:bookmarkStart w:id="37" w:name="broader-implications"/>
    <w:p>
      <w:pPr>
        <w:pStyle w:val="Heading2"/>
      </w:pPr>
      <w:r>
        <w:t xml:space="preserve">Broader implications</w:t>
      </w:r>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community science volunteers and can help maintain longer-term involvement</w:t>
      </w:r>
      <w:r>
        <w:t xml:space="preserve"> </w:t>
      </w:r>
      <w:r>
        <w:t xml:space="preserve">(Gouveia et al. 2004, Bonney et al. 2009, Ganzevoort et al. 2017)</w:t>
      </w:r>
      <w:r>
        <w:t xml:space="preserve">. If long-term involvement was not common, then consistent long-term data may be more difficult to obtain and understanding of long-term trends would be made more difficult.</w:t>
      </w:r>
    </w:p>
    <w:p>
      <w:pPr>
        <w:pStyle w:val="BodyText"/>
      </w:pPr>
      <w:r>
        <w:t xml:space="preserve">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assumed via increasing chlorophyll</w:t>
      </w:r>
      <w:r>
        <w:t xml:space="preserve"> </w:t>
      </w:r>
      <w:r>
        <w:rPr>
          <w:i/>
        </w:rPr>
        <w:t xml:space="preserve">a</w:t>
      </w:r>
      <w:r>
        <w:t xml:space="preserve"> </w:t>
      </w:r>
      <w:r>
        <w:t xml:space="preserve">levels as chlorophyll</w:t>
      </w:r>
      <w:r>
        <w:t xml:space="preserve"> </w:t>
      </w:r>
      <w:r>
        <w:rPr>
          <w:i/>
        </w:rPr>
        <w:t xml:space="preserve">a</w:t>
      </w:r>
      <w:r>
        <w:t xml:space="preserve"> </w:t>
      </w:r>
      <w:r>
        <w:t xml:space="preserve">has been linked to probability of the presence of bloom indicators such as microcystin</w:t>
      </w:r>
      <w:r>
        <w:t xml:space="preserve"> </w:t>
      </w:r>
      <w:r>
        <w:t xml:space="preserve">(Hollister et al. 2016b)</w:t>
      </w:r>
      <w:r>
        <w:t xml:space="preserve">. Our results are consistent then with the prior research that temperature changes could be driving increased chlorophyll.</w:t>
      </w:r>
    </w:p>
    <w:p>
      <w:pPr>
        <w:pStyle w:val="BodyText"/>
      </w:pPr>
      <w:r>
        <w:t xml:space="preserve">Our analysis has shown warming lakes in Rhode Island, but broad scale warming of lakes has also been documented and shown to be a result of both climatic and local drivers and can vary greatly within regions</w:t>
      </w:r>
      <w:r>
        <w:t xml:space="preserve"> </w:t>
      </w:r>
      <w:r>
        <w:t xml:space="preserve">(e.g., O’Reilly et al. 2015)</w:t>
      </w:r>
      <w:r>
        <w:t xml:space="preserve">. Given that the drivers of warming are at both broad and local scales, managing warming lake temperatures will be a difficult task. Counteracting the impacts of continued warming on increased chlorophyll in lakes will, at a minimum, require additional interventions. Reducing nutrient loads below current levels is one such intervention and could be achieved via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In any event, controlling future eutrophication and protecting against harmful aglal blooms will continue to be a challenge against the backdrop of warming lakes.</w:t>
      </w:r>
    </w:p>
    <w:bookmarkEnd w:id="37"/>
    <w:bookmarkStart w:id="38" w:name="data-analysis-approach"/>
    <w:p>
      <w:pPr>
        <w:pStyle w:val="Heading2"/>
      </w:pPr>
      <w:r>
        <w:t xml:space="preserve">Data analysis approach</w:t>
      </w:r>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little-used application of the technique, as we only found a single study using anomalies in lakes and that study’s focus was only on lake temperature</w:t>
      </w:r>
      <w:r>
        <w:t xml:space="preserve"> </w:t>
      </w:r>
      <w:r>
        <w:t xml:space="preserve">(O’Reilly et al. 2015)</w:t>
      </w:r>
      <w:r>
        <w:t xml:space="preserve">. There is little evidence of using anomalies more broadly with water quality trends. Thus,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only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9A), and apply the site-specific analysis to those simulated data (Figure 9B). The average of the yearly measured values shows a trend (slope = 0.4 and p-value = 0.0000003), whereas the site-specific anomalies correctly shows no trend as each site did not change over time (slope = -0.029 and p-value = 0.49, Figure 9).</w:t>
      </w:r>
    </w:p>
    <w:p>
      <w:pPr>
        <w:pStyle w:val="BodyText"/>
      </w:pPr>
      <w:r>
        <w:t xml:space="preserve">Site-specific anomalies do have broad utility for the analysis of water quality trends, however; there are a few caveats the must be considered. Our use of site-specific anomalies as outlined in this paper, requires aggregating over years. Any time period could be used for aggregating, but this is a decision that will need to be carefully addressed when conducting this type of analysis. Site-specific anomalies also require fairly large amounts of data. The required data will need to be consistently collected over a long period of time. Ideally, the data would cover a reference period (e.g. for our analysis that was 24 years) although other data could possibly be used to estimate the long-term medians. In short, site-specific anomalies do require relatively large datasets and decisions on appropriate levels of aggregation, as with any analysis using aggregation, must be made carefully.</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community science programs can play in capturing and better understanding long-term environmental trends.</w:t>
      </w:r>
    </w:p>
    <w:bookmarkEnd w:id="38"/>
    <w:bookmarkEnd w:id="39"/>
    <w:bookmarkStart w:id="40" w:name="acknowledgments"/>
    <w:p>
      <w:pPr>
        <w:pStyle w:val="Heading1"/>
      </w:pPr>
      <w:r>
        <w:t xml:space="preserve">Acknowledgments</w:t>
      </w:r>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bookmarkEnd w:id="40"/>
    <w:bookmarkStart w:id="140" w:name="bibliography"/>
    <w:p>
      <w:pPr>
        <w:pStyle w:val="Heading1"/>
      </w:pPr>
      <w:r>
        <w:t xml:space="preserve">Bibliography</w:t>
      </w:r>
    </w:p>
    <w:bookmarkStart w:id="138" w:name="refs"/>
    <w:bookmarkStart w:id="41" w:name="ref-captioner"/>
    <w:p>
      <w:pPr>
        <w:pStyle w:val="Bibliography"/>
      </w:pPr>
      <w:r>
        <w:t xml:space="preserve">Alathea, L. 2015. Captioner: Numbers figures and creates simple captions.</w:t>
      </w:r>
    </w:p>
    <w:bookmarkEnd w:id="41"/>
    <w:bookmarkStart w:id="42" w:name="ref-feddata"/>
    <w:p>
      <w:pPr>
        <w:pStyle w:val="Bibliography"/>
      </w:pPr>
      <w:r>
        <w:t xml:space="preserve">Bocinsky, R. K. 2020. FedData: Functions to automate downloading geospatial data available from several federated data sources.</w:t>
      </w:r>
    </w:p>
    <w:bookmarkEnd w:id="42"/>
    <w:bookmarkStart w:id="43"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43"/>
    <w:bookmarkStart w:id="44"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4"/>
    <w:bookmarkStart w:id="45"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5"/>
    <w:bookmarkStart w:id="46"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6"/>
    <w:bookmarkStart w:id="47"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7"/>
    <w:bookmarkStart w:id="48"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8"/>
    <w:bookmarkStart w:id="49" w:name="ref-cooter1995recent"/>
    <w:p>
      <w:pPr>
        <w:pStyle w:val="Bibliography"/>
      </w:pPr>
      <w:r>
        <w:t xml:space="preserve">Cooter, E. J., and S. K. Leduc. 1995. Recent frost date trends in the north-eastern USA. International Journal of Climatology 15:65–75.</w:t>
      </w:r>
    </w:p>
    <w:bookmarkEnd w:id="49"/>
    <w:bookmarkStart w:id="50" w:name="ref-pander"/>
    <w:p>
      <w:pPr>
        <w:pStyle w:val="Bibliography"/>
      </w:pPr>
      <w:r>
        <w:t xml:space="preserve">Daróczi, G., and R. Tsegelskyi. 2018. Pander: An r ’pandoc’ writer.</w:t>
      </w:r>
    </w:p>
    <w:bookmarkEnd w:id="50"/>
    <w:bookmarkStart w:id="51"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1"/>
    <w:bookmarkStart w:id="52" w:name="ref-dodds2008eutrophication"/>
    <w:p>
      <w:pPr>
        <w:pStyle w:val="Bibliography"/>
      </w:pPr>
      <w:r>
        <w:t xml:space="preserve">Dodds, W. K., W. W. Bouska, J. L. Eitzmann, T. J. Pilger, K. L. Pitts, A. J. Riley, J. T. Schloesser, and D. J. Thornbrugh. 2009. Eutrophication of u.s. Freshwaters: Analysis of potential economic damages. Environmental Science &amp; Technology 43:12–19.</w:t>
      </w:r>
    </w:p>
    <w:bookmarkEnd w:id="52"/>
    <w:bookmarkStart w:id="53" w:name="ref-downing1992nitrogen"/>
    <w:p>
      <w:pPr>
        <w:pStyle w:val="Bibliography"/>
      </w:pPr>
      <w:r>
        <w:t xml:space="preserve">Downing, J. A., and E. McCauley. 1992. The nitrogen: Phosphorus relationship in lakes. Limnology and Oceanography 37:936–945.</w:t>
      </w:r>
    </w:p>
    <w:bookmarkEnd w:id="53"/>
    <w:bookmarkStart w:id="54" w:name="ref-filippelli2008global"/>
    <w:p>
      <w:pPr>
        <w:pStyle w:val="Bibliography"/>
      </w:pPr>
      <w:r>
        <w:t xml:space="preserve">Filippelli, G. M. 2008. The global phosphorus cycle: Past, present, and future. Elements 4:89–95.</w:t>
      </w:r>
    </w:p>
    <w:bookmarkEnd w:id="54"/>
    <w:bookmarkStart w:id="55"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5"/>
    <w:bookmarkStart w:id="56"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6"/>
    <w:bookmarkStart w:id="57" w:name="ref-finlay2013human"/>
    <w:p>
      <w:pPr>
        <w:pStyle w:val="Bibliography"/>
      </w:pPr>
      <w:r>
        <w:t xml:space="preserve">Finlay, J. C., G. E. Small, and R. W. Sterner. 2013. Human influences on nitrogen removal in lakes. Science 342:247–250.</w:t>
      </w:r>
    </w:p>
    <w:bookmarkEnd w:id="57"/>
    <w:bookmarkStart w:id="58"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8"/>
    <w:bookmarkStart w:id="59"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59"/>
    <w:bookmarkStart w:id="60" w:name="ref-lubridate"/>
    <w:p>
      <w:pPr>
        <w:pStyle w:val="Bibliography"/>
      </w:pPr>
      <w:r>
        <w:t xml:space="preserve">Grolemund, G., and H. Wickham. 2011. Dates and times made easy with</w:t>
      </w:r>
      <w:r>
        <w:t xml:space="preserve"> </w:t>
      </w:r>
      <w:r>
        <w:t xml:space="preserve">lubridate</w:t>
      </w:r>
      <w:r>
        <w:t xml:space="preserve">. Journal of Statistical Software 40:1–25.</w:t>
      </w:r>
    </w:p>
    <w:bookmarkEnd w:id="60"/>
    <w:bookmarkStart w:id="61" w:name="ref-hansen2010global"/>
    <w:p>
      <w:pPr>
        <w:pStyle w:val="Bibliography"/>
      </w:pPr>
      <w:r>
        <w:t xml:space="preserve">Hansen, J., R. Ruedy, M. Sato, and K. Lo. 2010. Global surface temperature change. Reviews of Geophysics 48.</w:t>
      </w:r>
    </w:p>
    <w:bookmarkEnd w:id="61"/>
    <w:bookmarkStart w:id="62" w:name="ref-hansen2006global"/>
    <w:p>
      <w:pPr>
        <w:pStyle w:val="Bibliography"/>
      </w:pPr>
      <w:r>
        <w:t xml:space="preserve">Hansen, J., M. Sato, R. Ruedy, K. Lo, D. W. Lea, and M. Medina-Elizade. 2006. Global temperature change. Proceedings of the National Academy of Sciences 103:14288–14293.</w:t>
      </w:r>
    </w:p>
    <w:bookmarkEnd w:id="62"/>
    <w:bookmarkStart w:id="63" w:name="ref-helsel2002statistical"/>
    <w:p>
      <w:pPr>
        <w:pStyle w:val="Bibliography"/>
      </w:pPr>
      <w:r>
        <w:t xml:space="preserve">Helsel, D., and R. Hirsch. 2002. Statistical methods in water resources. Techniques of Water-Resources Investigations Book 4:395.</w:t>
      </w:r>
    </w:p>
    <w:bookmarkEnd w:id="63"/>
    <w:bookmarkStart w:id="64" w:name="ref-herlihy2013using"/>
    <w:p>
      <w:pPr>
        <w:pStyle w:val="Bibliography"/>
      </w:pPr>
      <w:r>
        <w:t xml:space="preserve">Herlihy, A. T., N. C. Kamman, J. C. Sifneos, D. Charles, M. D. Enache, and R. J. Stevenson. 2013. Using multiple approaches to develop nutrient criteria for lakes in the conterminous</w:t>
      </w:r>
      <w:r>
        <w:t xml:space="preserve"> </w:t>
      </w:r>
      <w:r>
        <w:t xml:space="preserve">USA</w:t>
      </w:r>
      <w:r>
        <w:t xml:space="preserve">. Freshwater Science 32:367–384.</w:t>
      </w:r>
    </w:p>
    <w:bookmarkEnd w:id="64"/>
    <w:bookmarkStart w:id="65" w:name="ref-nsink"/>
    <w:p>
      <w:pPr>
        <w:pStyle w:val="Bibliography"/>
      </w:pPr>
      <w:r>
        <w:t xml:space="preserve">Hollister, J., D. Kellogg, and Q. Lei-Parent. 2020a. Nsink: Flow path based nitrogen removal analysis.</w:t>
      </w:r>
    </w:p>
    <w:bookmarkEnd w:id="65"/>
    <w:bookmarkStart w:id="66" w:name="ref-zenodo_citation"/>
    <w:p>
      <w:pPr>
        <w:pStyle w:val="Bibliography"/>
      </w:pPr>
      <w:r>
        <w:t xml:space="preserve">Hollister, J. W., D. Q. Kellogg, B. J. Kreakie, S. S. Shivers, B. W. Milstead, E. Herron, L. Green, and A. Gold. 2020b. GitHub repository for "increasing chlorophyll *a* amid stable nutrient concentrations in rhode island lakes and reservoirs". Zenodo, https://doi.org/10.5281/zenodo.4050275.</w:t>
      </w:r>
    </w:p>
    <w:bookmarkEnd w:id="66"/>
    <w:bookmarkStart w:id="67" w:name="ref-hollister2016modeling"/>
    <w:p>
      <w:pPr>
        <w:pStyle w:val="Bibliography"/>
      </w:pPr>
      <w:r>
        <w:t xml:space="preserve">Hollister, J. W., W. B. Milstead, and B. J. Kreakie. 2016a. Modeling lake trophic state: A random forest approach. Ecosphere 7:e01321.</w:t>
      </w:r>
    </w:p>
    <w:bookmarkEnd w:id="67"/>
    <w:bookmarkStart w:id="68" w:name="ref-Hollister_2016"/>
    <w:p>
      <w:pPr>
        <w:pStyle w:val="Bibliography"/>
      </w:pPr>
      <w:r>
        <w:t xml:space="preserve">Hollister, J. W., W. B. Milstead, and B. J. Kreakie. 2016b. Modeling lake trophic state: A random forest approach. Ecosphere 7:e01321.</w:t>
      </w:r>
    </w:p>
    <w:bookmarkEnd w:id="68"/>
    <w:bookmarkStart w:id="69" w:name="ref-Hollister_2016"/>
    <w:p>
      <w:pPr>
        <w:pStyle w:val="Bibliography"/>
      </w:pPr>
      <w:r>
        <w:t xml:space="preserve">Hollister, J. W., W. B. Milstead, and B. J. Kreakie. 2016b. Modeling lake trophic state: A random forest approach. Ecosphere 7:e01321.</w:t>
      </w:r>
    </w:p>
    <w:bookmarkEnd w:id="69"/>
    <w:bookmarkStart w:id="70" w:name="ref-hurlbert1984pseudoreplication"/>
    <w:p>
      <w:pPr>
        <w:pStyle w:val="Bibliography"/>
      </w:pPr>
      <w:r>
        <w:t xml:space="preserve">Hurlbert, S. H. 1984. Pseudoreplication and the design of ecological field experiments. Ecological monographs 54:187–211.</w:t>
      </w:r>
    </w:p>
    <w:bookmarkEnd w:id="70"/>
    <w:bookmarkStart w:id="71" w:name="ref-jones1999surface"/>
    <w:p>
      <w:pPr>
        <w:pStyle w:val="Bibliography"/>
      </w:pPr>
      <w:r>
        <w:t xml:space="preserve">Jones, P. D., M. New, D. E. Parker, S. Martin, and I. G. Rigor. 1999. Surface air temperature and its changes over the past 150 years. Reviews of Geophysics 37:173–199.</w:t>
      </w:r>
    </w:p>
    <w:bookmarkEnd w:id="71"/>
    <w:bookmarkStart w:id="72"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72"/>
    <w:bookmarkStart w:id="73" w:name="ref-johnk2008summer"/>
    <w:p>
      <w:pPr>
        <w:pStyle w:val="Bibliography"/>
      </w:pPr>
      <w:r>
        <w:t xml:space="preserve">Jöhnk, K. D., J. Huisman, J. Sharples, B. Sommeijer, P. M. Visser, and J. M. Stroom. 2008. Summer heatwaves promote blooms of harmful cyanobacteria. Global change biology 14:495–512.</w:t>
      </w:r>
    </w:p>
    <w:bookmarkEnd w:id="73"/>
    <w:bookmarkStart w:id="74"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74"/>
    <w:bookmarkStart w:id="75" w:name="ref-kosmala2016assessing"/>
    <w:p>
      <w:pPr>
        <w:pStyle w:val="Bibliography"/>
      </w:pPr>
      <w:r>
        <w:t xml:space="preserve">Kosmala, M., A. Wiggins, A. Swanson, and B. Simmons. 2016. Assessing data quality in citizen science. Frontiers in Ecology and the Environment 14:551–560.</w:t>
      </w:r>
    </w:p>
    <w:bookmarkEnd w:id="75"/>
    <w:bookmarkStart w:id="76"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76"/>
    <w:bookmarkStart w:id="77"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77"/>
    <w:bookmarkStart w:id="78" w:name="ref-kunkel2004temporal"/>
    <w:p>
      <w:pPr>
        <w:pStyle w:val="Bibliography"/>
      </w:pPr>
      <w:r>
        <w:t xml:space="preserve">Kunkel, K. E., D. R. Easterling, K. Hubbard, and K. Redmond. 2004. Temporal variations in frost-free season in the united states: 1895–2000. Geophysical Research Letters 31.</w:t>
      </w:r>
    </w:p>
    <w:bookmarkEnd w:id="78"/>
    <w:bookmarkStart w:id="79" w:name="ref-litke1999review"/>
    <w:p>
      <w:pPr>
        <w:pStyle w:val="Bibliography"/>
      </w:pPr>
      <w:r>
        <w:t xml:space="preserve">Litke, D. W. 1999. Review of phosphorus control measures in the united states and their effects on water quality. Water-Resources Investigations Report 99:4007.</w:t>
      </w:r>
    </w:p>
    <w:bookmarkEnd w:id="79"/>
    <w:bookmarkStart w:id="80"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80"/>
    <w:bookmarkStart w:id="81"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81"/>
    <w:bookmarkStart w:id="82" w:name="ref-kendall"/>
    <w:p>
      <w:pPr>
        <w:pStyle w:val="Bibliography"/>
      </w:pPr>
      <w:r>
        <w:t xml:space="preserve">McLeod, A. I. 2011. Kendall: Kendall rank correlation and mann-kendall trend test.</w:t>
      </w:r>
    </w:p>
    <w:bookmarkEnd w:id="82"/>
    <w:bookmarkStart w:id="83"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83"/>
    <w:bookmarkStart w:id="84" w:name="ref-usaboundariesdata"/>
    <w:p>
      <w:pPr>
        <w:pStyle w:val="Bibliography"/>
      </w:pPr>
      <w:r>
        <w:t xml:space="preserve">Mullen, L. 2018. USAboundariesData: Datasets for the ’USAboundaries’ package.</w:t>
      </w:r>
    </w:p>
    <w:bookmarkEnd w:id="84"/>
    <w:bookmarkStart w:id="85" w:name="ref-usaboundaries"/>
    <w:p>
      <w:pPr>
        <w:pStyle w:val="Bibliography"/>
      </w:pPr>
      <w:r>
        <w:t xml:space="preserve">Mullen, L. A., and J. Bratt. 2018.</w:t>
      </w:r>
      <w:r>
        <w:t xml:space="preserve"> </w:t>
      </w:r>
      <w:r>
        <w:t xml:space="preserve">USAboundaries</w:t>
      </w:r>
      <w:r>
        <w:t xml:space="preserve">: Historical and contemporary boundaries of the united states of america. Journal of Open Source Software 3:314.</w:t>
      </w:r>
    </w:p>
    <w:bookmarkEnd w:id="85"/>
    <w:bookmarkStart w:id="86" w:name="ref-here"/>
    <w:p>
      <w:pPr>
        <w:pStyle w:val="Bibliography"/>
      </w:pPr>
      <w:r>
        <w:t xml:space="preserve">Müller, K. 2020. Here: A simpler way to find your files.</w:t>
      </w:r>
    </w:p>
    <w:bookmarkEnd w:id="86"/>
    <w:bookmarkStart w:id="87"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87"/>
    <w:bookmarkStart w:id="88" w:name="ref-noaatrends"/>
    <w:p>
      <w:pPr>
        <w:pStyle w:val="Bibliography"/>
      </w:pPr>
      <w:r>
        <w:t xml:space="preserve">NOAA National Center for Environmental Information. 2020. Climate at a glance: Statewide time series, retrieved on</w:t>
      </w:r>
      <w:r>
        <w:t xml:space="preserve"> </w:t>
      </w:r>
      <w:r>
        <w:t xml:space="preserve">S</w:t>
      </w:r>
      <w:r>
        <w:t xml:space="preserve">eptember 14, 2020. https://www.ncdc.noaa.gov/cag/.</w:t>
      </w:r>
    </w:p>
    <w:bookmarkEnd w:id="88"/>
    <w:bookmarkStart w:id="89" w:name="ref-nojavan2019rethinking"/>
    <w:p>
      <w:pPr>
        <w:pStyle w:val="Bibliography"/>
      </w:pPr>
      <w:r>
        <w:t xml:space="preserve">Nojavan, F., B. J. Kreakie, J. W. Hollister, and S. S. Qian. 2019. Rethinking the lake trophic state index. PeerJ 7:e7936.</w:t>
      </w:r>
    </w:p>
    <w:bookmarkEnd w:id="89"/>
    <w:bookmarkStart w:id="90"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90"/>
    <w:bookmarkStart w:id="91" w:name="ref-oreilly2015warming"/>
    <w:p>
      <w:pPr>
        <w:pStyle w:val="Bibliography"/>
      </w:pPr>
      <w:r>
        <w:t xml:space="preserve">O’Reilly, C. M., S. Sharma, D. K. Gray, S. E. Hampton, J. S. Read, R. J. Rowley, P. Schneider, J. D. Lenters, P. B. McIntyre, B. M. Kraemer, G. A. Weyhenmeyer, D. Straile, B. Dong, R. Adrian, M. G. Allan, O. Anneville, L. Arvola, J. Austin, J. L. Bailey, J. S. Baron, J. D. Brookes, E. de Eyto, M. T. Dokulil, D. P. Hamilton, K. Havens, A. L. Hetherington, S. N. Higgins, S. Hook, L. R. Izmest’eva, K. D. Joehnk, K. Kangur, P. Kasprzak, M. Kumagai, E. Kuusisto, G. Leshkevich, D. M. Livingstone, S. MacIntyre, L. May, J. M. Melack, D. C. Mueller-Navarra, M. Naumenko, P. Noges, T. Noges, R. P. North, P.-D. Plisnier, A. Rigosi, A. Rimmer, M. Rogora, L. G. Rudstam, J. A. Rusak, N. Salmaso, N. R. Samal, D. E. Schindler, S. G. Schladow, M. Schmid, S. R. Schmidt, E. Silow, M. E. Soylu, K. Teubner, P. Verburg, A. Voutilainen, A. Watkinson, C. E. Williamson, and G. Zhang. 2015. Rapid and highly variable warming of lake surface waters around the globe. Geophysical Research Letters 42:10, 773–10, 781.</w:t>
      </w:r>
    </w:p>
    <w:bookmarkEnd w:id="91"/>
    <w:bookmarkStart w:id="92"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92"/>
    <w:bookmarkStart w:id="93" w:name="ref-paerl2008blooms"/>
    <w:p>
      <w:pPr>
        <w:pStyle w:val="Bibliography"/>
      </w:pPr>
      <w:r>
        <w:t xml:space="preserve">Paerl, H. W., and J. Huisman. 2008. Blooms like it hot. Science 320:57–58.</w:t>
      </w:r>
    </w:p>
    <w:bookmarkEnd w:id="93"/>
    <w:bookmarkStart w:id="94" w:name="ref-paerl2009climate"/>
    <w:p>
      <w:pPr>
        <w:pStyle w:val="Bibliography"/>
      </w:pPr>
      <w:r>
        <w:t xml:space="preserve">Paerl, H. W., and J. Huisman. 2009. Climate change: A catalyst for global expansion of harmful cyanobacterial blooms. Environmental Microbiology Reports 1:27–37.</w:t>
      </w:r>
    </w:p>
    <w:bookmarkEnd w:id="94"/>
    <w:bookmarkStart w:id="95" w:name="ref-paerl_climate_2012"/>
    <w:p>
      <w:pPr>
        <w:pStyle w:val="Bibliography"/>
      </w:pPr>
      <w:r>
        <w:t xml:space="preserve">Paerl, H. W., and V. J. Paul. 2012. Climate change: Links to global expansion of harmful cyanobacteria. Water Research 46:1349–1363.</w:t>
      </w:r>
    </w:p>
    <w:bookmarkEnd w:id="95"/>
    <w:bookmarkStart w:id="96" w:name="ref-paerl2016takes"/>
    <w:p>
      <w:pPr>
        <w:pStyle w:val="Bibliography"/>
      </w:pPr>
      <w:r>
        <w:t xml:space="preserve">Paerl, H. W., J. T. Scott, M. J. McCarthy, S. E. Newell, W. S. Gardner, K. E. Havens, D. K. Hoffman, S. W. Wilhelm, and W. A. Wurtsbaugh. 2016. It takes two to tango: When and where dual nutrient (</w:t>
      </w:r>
      <w:r>
        <w:t xml:space="preserve">N</w:t>
      </w:r>
      <w:r>
        <w:t xml:space="preserve"> </w:t>
      </w:r>
      <w:r>
        <w:t xml:space="preserve">&amp;</w:t>
      </w:r>
      <w:r>
        <w:t xml:space="preserve"> </w:t>
      </w:r>
      <w:r>
        <w:t xml:space="preserve">P</w:t>
      </w:r>
      <w:r>
        <w:t xml:space="preserve">) reductions are needed to protect lakes and downstream ecosystems. Environmental Science &amp; Technology 50:10805–10813.</w:t>
      </w:r>
    </w:p>
    <w:bookmarkEnd w:id="96"/>
    <w:bookmarkStart w:id="97" w:name="ref-sf"/>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10:439–446.</w:t>
      </w:r>
    </w:p>
    <w:bookmarkEnd w:id="97"/>
    <w:bookmarkStart w:id="98" w:name="ref-units"/>
    <w:p>
      <w:pPr>
        <w:pStyle w:val="Bibliography"/>
      </w:pPr>
      <w:r>
        <w:t xml:space="preserve">Pebesma, E., T. Mailund, and J. Hiebert. 2016. Measurement units in</w:t>
      </w:r>
      <w:r>
        <w:t xml:space="preserve"> </w:t>
      </w:r>
      <w:r>
        <w:t xml:space="preserve">R</w:t>
      </w:r>
      <w:r>
        <w:t xml:space="preserve">. R Journal 8:486–494.</w:t>
      </w:r>
    </w:p>
    <w:bookmarkEnd w:id="98"/>
    <w:bookmarkStart w:id="99"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99"/>
    <w:bookmarkStart w:id="100" w:name="ref-r2020"/>
    <w:p>
      <w:pPr>
        <w:pStyle w:val="Bibliography"/>
      </w:pPr>
      <w:r>
        <w:t xml:space="preserve">R Core Team. 2020. R: A language and environment for statistical computing, v4.0.3. R Foundation for Statistical Computing, Vienna, Austria.</w:t>
      </w:r>
    </w:p>
    <w:bookmarkEnd w:id="100"/>
    <w:bookmarkStart w:id="101"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w:t>
      </w:r>
      <w:r>
        <w:t xml:space="preserve"> </w:t>
      </w:r>
      <w:r>
        <w:t xml:space="preserve">U</w:t>
      </w:r>
      <w:r>
        <w:t xml:space="preserve">nited</w:t>
      </w:r>
      <w:r>
        <w:t xml:space="preserve"> </w:t>
      </w:r>
      <w:r>
        <w:t xml:space="preserve">S</w:t>
      </w:r>
      <w:r>
        <w:t xml:space="preserve">tates. Ecological Applications 25:943–955.</w:t>
      </w:r>
    </w:p>
    <w:bookmarkEnd w:id="101"/>
    <w:bookmarkStart w:id="102"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102"/>
    <w:bookmarkStart w:id="103" w:name="ref-reynolds2006ecology"/>
    <w:p>
      <w:pPr>
        <w:pStyle w:val="Bibliography"/>
      </w:pPr>
      <w:r>
        <w:t xml:space="preserve">Reynolds, C. S. 2006. The ecology of phytoplankton. Cambridge University Press.</w:t>
      </w:r>
    </w:p>
    <w:bookmarkEnd w:id="103"/>
    <w:bookmarkStart w:id="104" w:name="ref-ri_2016_waterquality"/>
    <w:p>
      <w:pPr>
        <w:pStyle w:val="Bibliography"/>
      </w:pPr>
      <w:r>
        <w:t xml:space="preserve">Rhode Island Division of Planning. 2016. Water quality 2035: Rhode island water quality management plan.</w:t>
      </w:r>
    </w:p>
    <w:bookmarkEnd w:id="104"/>
    <w:bookmarkStart w:id="105" w:name="ref-riphosban1995"/>
    <w:p>
      <w:pPr>
        <w:pStyle w:val="Bibliography"/>
      </w:pPr>
      <w:r>
        <w:t xml:space="preserve">Rhode Island State Legislature. 1995. Phosphate reduction act of 1995, http://webserver.rilin.state.ri.us/statutes/TITLE46/46-29/INDEX.HTM.</w:t>
      </w:r>
    </w:p>
    <w:bookmarkEnd w:id="105"/>
    <w:bookmarkStart w:id="106" w:name="ref-broom"/>
    <w:p>
      <w:pPr>
        <w:pStyle w:val="Bibliography"/>
      </w:pPr>
      <w:r>
        <w:t xml:space="preserve">Robinson, D., A. Hayes, and S. Couch. 2020. Broom: Convert statistical objects into tidy tibbles.</w:t>
      </w:r>
    </w:p>
    <w:bookmarkEnd w:id="106"/>
    <w:bookmarkStart w:id="107" w:name="ref-hrbrthemes"/>
    <w:p>
      <w:pPr>
        <w:pStyle w:val="Bibliography"/>
      </w:pPr>
      <w:r>
        <w:t xml:space="preserve">Rudis, B. 2020. Hrbrthemes: Additional themes, theme components and utilities for ’ggplot2’.</w:t>
      </w:r>
    </w:p>
    <w:bookmarkEnd w:id="107"/>
    <w:bookmarkStart w:id="108" w:name="ref-schindler2009lakes"/>
    <w:p>
      <w:pPr>
        <w:pStyle w:val="Bibliography"/>
      </w:pPr>
      <w:r>
        <w:t xml:space="preserve">Schindler, D. 2009. Lakes as sentinels and integrators for the effects of climate change on watersheds, airsheds, and landscapes. Limnology and Oceanography 54:2349–2358.</w:t>
      </w:r>
    </w:p>
    <w:bookmarkEnd w:id="108"/>
    <w:bookmarkStart w:id="109"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109"/>
    <w:bookmarkStart w:id="110" w:name="ref-smith2003eutrophication"/>
    <w:p>
      <w:pPr>
        <w:pStyle w:val="Bibliography"/>
      </w:pPr>
      <w:r>
        <w:t xml:space="preserve">Smith, V. H. 2003. Eutrophication of freshwater and coastal marine ecosystems a global problem. Environmental Science and Pollution Research 10:126–139.</w:t>
      </w:r>
    </w:p>
    <w:bookmarkEnd w:id="110"/>
    <w:bookmarkStart w:id="111" w:name="ref-sorannolagosne2017"/>
    <w:p>
      <w:pPr>
        <w:pStyle w:val="Bibliography"/>
      </w:pPr>
      <w:r>
        <w:t xml:space="preserve">Soranno, P. A., L. C. Bacon, M. Beauchene, K. E. Bednar, E. G. Bissell, and al. et. 2017. LAGOS-</w:t>
      </w:r>
      <w:r>
        <w:t xml:space="preserve">NE</w:t>
      </w:r>
      <w:r>
        <w:t xml:space="preserve">: A multi-scaled geospatial and temporal database of lake ecological context and water quality for thousands of</w:t>
      </w:r>
      <w:r>
        <w:t xml:space="preserve"> </w:t>
      </w:r>
      <w:r>
        <w:t xml:space="preserve">US</w:t>
      </w:r>
      <w:r>
        <w:t xml:space="preserve"> </w:t>
      </w:r>
      <w:r>
        <w:t xml:space="preserve">lakes. Gigascience 6.</w:t>
      </w:r>
    </w:p>
    <w:bookmarkEnd w:id="111"/>
    <w:bookmarkStart w:id="112"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112"/>
    <w:bookmarkStart w:id="113" w:name="ref-sorannolimno2019"/>
    <w:p>
      <w:pPr>
        <w:pStyle w:val="Bibliography"/>
      </w:pPr>
      <w:r>
        <w:t xml:space="preserve">Soranno, P. A., N. R. Lottig, A. D. Delany, and K. S. Cheruvelil. 2019.</w:t>
      </w:r>
      <w:r>
        <w:t xml:space="preserve"> </w:t>
      </w:r>
      <w:r>
        <w:t xml:space="preserve">LAGOS-NE-LIMNO</w:t>
      </w:r>
      <w:r>
        <w:t xml:space="preserve"> </w:t>
      </w:r>
      <w:r>
        <w:t xml:space="preserve">v1.087.3: A module for</w:t>
      </w:r>
      <w:r>
        <w:t xml:space="preserve"> </w:t>
      </w:r>
      <w:r>
        <w:t xml:space="preserve">LAGOS-NE</w:t>
      </w:r>
      <w:r>
        <w:t xml:space="preserve">, a multi-scaled geospatial and temporal database of lake ecological context and water quality for thousands of</w:t>
      </w:r>
      <w:r>
        <w:t xml:space="preserve"> </w:t>
      </w:r>
      <w:r>
        <w:t xml:space="preserve">U.S.</w:t>
      </w:r>
      <w:r>
        <w:t xml:space="preserve"> </w:t>
      </w:r>
      <w:r>
        <w:t xml:space="preserve">Lakes: 1925-2013 ver 3. Environmental Data Initiative.</w:t>
      </w:r>
    </w:p>
    <w:bookmarkEnd w:id="113"/>
    <w:bookmarkStart w:id="115" w:name="ref-stacheleklagosne2017"/>
    <w:p>
      <w:pPr>
        <w:pStyle w:val="Bibliography"/>
      </w:pPr>
      <w:r>
        <w:t xml:space="preserve">Stachelek, J., and S. Oliver. 2017. LAGOSNE: Interface to the lake multi-scaled geospatial and temporal database,</w:t>
      </w:r>
      <w:r>
        <w:t xml:space="preserve"> </w:t>
      </w:r>
      <w:r>
        <w:t xml:space="preserve">R</w:t>
      </w:r>
      <w:r>
        <w:t xml:space="preserve"> </w:t>
      </w:r>
      <w:r>
        <w:t xml:space="preserve">package version 1.1.0.</w:t>
      </w:r>
      <w:r>
        <w:t xml:space="preserve"> </w:t>
      </w:r>
      <w:hyperlink r:id="rId114">
        <w:r>
          <w:rPr>
            <w:rStyle w:val="Hyperlink"/>
          </w:rPr>
          <w:t xml:space="preserve">https://cran.r-project.org/package=LAGOSNE</w:t>
        </w:r>
      </w:hyperlink>
      <w:r>
        <w:t xml:space="preserve">.</w:t>
      </w:r>
    </w:p>
    <w:bookmarkEnd w:id="115"/>
    <w:bookmarkStart w:id="116" w:name="ref-ri_wq_regs"/>
    <w:p>
      <w:pPr>
        <w:pStyle w:val="Bibliography"/>
      </w:pPr>
      <w:r>
        <w:t xml:space="preserve">State of Rhode Island Department of Environmental Management Office of Water Resources. 2010. Water quality regulations, http://www.dem.ri.gov/pubs/regs/regs/water/h2oq10.pdf.</w:t>
      </w:r>
    </w:p>
    <w:bookmarkEnd w:id="116"/>
    <w:bookmarkStart w:id="117"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117"/>
    <w:bookmarkStart w:id="118"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118"/>
    <w:bookmarkStart w:id="120" w:name="ref-paris"/>
    <w:p>
      <w:pPr>
        <w:pStyle w:val="Bibliography"/>
      </w:pPr>
      <w:r>
        <w:t xml:space="preserve">United Nations. 2015.</w:t>
      </w:r>
      <w:r>
        <w:t xml:space="preserve"> </w:t>
      </w:r>
      <w:r>
        <w:t xml:space="preserve">Paris Agreement, Treaty No. XXVII-7-d. Retrieved on September 24, 2020,</w:t>
      </w:r>
      <w:r>
        <w:t xml:space="preserve"> </w:t>
      </w:r>
      <w:hyperlink r:id="rId119">
        <w:r>
          <w:rPr>
            <w:rStyle w:val="Hyperlink"/>
          </w:rPr>
          <w:t xml:space="preserve">https://treaties.un.org/doc/Treaties/2016/02/20160215%2006-03%20PM/Ch_XXVII-7-d.pdf</w:t>
        </w:r>
      </w:hyperlink>
      <w:r>
        <w:t xml:space="preserve">.</w:t>
      </w:r>
    </w:p>
    <w:bookmarkEnd w:id="120"/>
    <w:bookmarkStart w:id="121" w:name="ref-vega2019changes"/>
    <w:p>
      <w:pPr>
        <w:pStyle w:val="Bibliography"/>
      </w:pPr>
      <w:r>
        <w:t xml:space="preserve">Vega, A. J., R. V. Rohli, and E. Wright. 2019. Changes in growing season in the northeastern united states. Physical Geography:1–22.</w:t>
      </w:r>
    </w:p>
    <w:bookmarkEnd w:id="121"/>
    <w:bookmarkStart w:id="122"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122"/>
    <w:bookmarkStart w:id="123" w:name="ref-tidycensus"/>
    <w:p>
      <w:pPr>
        <w:pStyle w:val="Bibliography"/>
      </w:pPr>
      <w:r>
        <w:t xml:space="preserve">Walker, K., and M. Herman. 2020. Tidycensus: Load US census boundary and attribute data as ’tidyverse’ and ’sf’-ready data frames.</w:t>
      </w:r>
    </w:p>
    <w:bookmarkEnd w:id="123"/>
    <w:bookmarkStart w:id="124" w:name="ref-wasserstein2016asa"/>
    <w:p>
      <w:pPr>
        <w:pStyle w:val="Bibliography"/>
      </w:pPr>
      <w:r>
        <w:t xml:space="preserve">Wasserstein, R. L., N. A. Lazar, and others. 2016. The</w:t>
      </w:r>
      <w:r>
        <w:t xml:space="preserve"> </w:t>
      </w:r>
      <w:r>
        <w:t xml:space="preserve">ASA’s</w:t>
      </w:r>
      <w:r>
        <w:t xml:space="preserve"> </w:t>
      </w:r>
      <w:r>
        <w:t xml:space="preserve">statement on p-values: Context, process, and purpose. The American Statistician 70:129–133.</w:t>
      </w:r>
    </w:p>
    <w:bookmarkEnd w:id="124"/>
    <w:bookmarkStart w:id="125" w:name="ref-ggplot2"/>
    <w:p>
      <w:pPr>
        <w:pStyle w:val="Bibliography"/>
      </w:pPr>
      <w:r>
        <w:t xml:space="preserve">Wickham, H. 2016. ggplot2: Elegant graphics for data analysis. Springer-Verlag New York.</w:t>
      </w:r>
    </w:p>
    <w:bookmarkEnd w:id="125"/>
    <w:bookmarkStart w:id="126" w:name="ref-stringr"/>
    <w:p>
      <w:pPr>
        <w:pStyle w:val="Bibliography"/>
      </w:pPr>
      <w:r>
        <w:t xml:space="preserve">Wickham, H. 2019. Stringr: Simple, consistent wrappers for common string operations.</w:t>
      </w:r>
    </w:p>
    <w:bookmarkEnd w:id="126"/>
    <w:bookmarkStart w:id="127" w:name="ref-tidyr"/>
    <w:p>
      <w:pPr>
        <w:pStyle w:val="Bibliography"/>
      </w:pPr>
      <w:r>
        <w:t xml:space="preserve">Wickham, H. 2020. Tidyr: Tidy messy data.</w:t>
      </w:r>
    </w:p>
    <w:bookmarkEnd w:id="127"/>
    <w:bookmarkStart w:id="128" w:name="ref-readxl"/>
    <w:p>
      <w:pPr>
        <w:pStyle w:val="Bibliography"/>
      </w:pPr>
      <w:r>
        <w:t xml:space="preserve">Wickham, H., and J. Bryan. 2019. Readxl: Read excel files.</w:t>
      </w:r>
    </w:p>
    <w:bookmarkEnd w:id="128"/>
    <w:bookmarkStart w:id="129" w:name="ref-dplyr"/>
    <w:p>
      <w:pPr>
        <w:pStyle w:val="Bibliography"/>
      </w:pPr>
      <w:r>
        <w:t xml:space="preserve">Wickham, H., R. François, L. Henry, and K. Müller. 2020. Dplyr: A grammar of data manipulation.</w:t>
      </w:r>
    </w:p>
    <w:bookmarkEnd w:id="129"/>
    <w:bookmarkStart w:id="130" w:name="ref-readr"/>
    <w:p>
      <w:pPr>
        <w:pStyle w:val="Bibliography"/>
      </w:pPr>
      <w:r>
        <w:t xml:space="preserve">Wickham, H., and J. Hester. 2020. Readr: Read rectangular text data.</w:t>
      </w:r>
    </w:p>
    <w:bookmarkEnd w:id="130"/>
    <w:bookmarkStart w:id="131" w:name="ref-cowplot"/>
    <w:p>
      <w:pPr>
        <w:pStyle w:val="Bibliography"/>
      </w:pPr>
      <w:r>
        <w:t xml:space="preserve">Wilke, C. O. 2020. Cowplot: Streamlined plot theme and plot annotations for ’ggplot2’.</w:t>
      </w:r>
    </w:p>
    <w:bookmarkEnd w:id="131"/>
    <w:bookmarkStart w:id="132"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132"/>
    <w:bookmarkStart w:id="133" w:name="ref-winder2004climate"/>
    <w:p>
      <w:pPr>
        <w:pStyle w:val="Bibliography"/>
      </w:pPr>
      <w:r>
        <w:t xml:space="preserve">Winder, M., and D. E. Schindler. 2004. Climate change uncouples trophic interactions in an aquatic ecosystem. Ecology 85:2100–2106.</w:t>
      </w:r>
    </w:p>
    <w:bookmarkEnd w:id="133"/>
    <w:bookmarkStart w:id="134" w:name="ref-xie2015dynamicdoc"/>
    <w:p>
      <w:pPr>
        <w:pStyle w:val="Bibliography"/>
      </w:pPr>
      <w:r>
        <w:t xml:space="preserve">Xie, Y. 2015. Dynamic documents with</w:t>
      </w:r>
      <w:r>
        <w:t xml:space="preserve"> </w:t>
      </w:r>
      <w:r>
        <w:t xml:space="preserve">R</w:t>
      </w:r>
      <w:r>
        <w:t xml:space="preserve"> </w:t>
      </w:r>
      <w:r>
        <w:t xml:space="preserve">and knitr. 2nd edition. Chapman; Hall/CRC, Boca Raton, Florida.</w:t>
      </w:r>
    </w:p>
    <w:bookmarkEnd w:id="134"/>
    <w:bookmarkStart w:id="135" w:name="ref-knitr"/>
    <w:p>
      <w:pPr>
        <w:pStyle w:val="Bibliography"/>
      </w:pPr>
      <w:r>
        <w:t xml:space="preserve">Xie, Y. 2020. Knitr: A general-purpose package for dynamic report generation in r.</w:t>
      </w:r>
    </w:p>
    <w:bookmarkEnd w:id="135"/>
    <w:bookmarkStart w:id="136" w:name="ref-yang2018nutrients"/>
    <w:p>
      <w:pPr>
        <w:pStyle w:val="Bibliography"/>
      </w:pPr>
      <w:r>
        <w:t xml:space="preserve">Yang, Y.-Y., and M. G. Lusk. 2018. Nutrients in urban stormwater runoff: Current state of the science and potential mitigation options. Current Pollution Reports 4:112–127.</w:t>
      </w:r>
    </w:p>
    <w:bookmarkEnd w:id="136"/>
    <w:bookmarkStart w:id="137"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137"/>
    <w:bookmarkEnd w:id="138"/>
    <w:bookmarkStart w:id="139" w:name="section"/>
    <w:p>
      <w:pPr>
        <w:pStyle w:val="Heading6"/>
      </w:pPr>
    </w:p>
    <w:bookmarkEnd w:id="139"/>
    <w:bookmarkEnd w:id="140"/>
    <w:bookmarkStart w:id="146" w:name="tables"/>
    <w:p>
      <w:pPr>
        <w:pStyle w:val="Heading1"/>
      </w:pPr>
      <w:r>
        <w:t xml:space="preserve">Tables</w:t>
      </w:r>
    </w:p>
    <w:tbl>
      <w:tblPr>
        <w:tblStyle w:val="Table"/>
        <w:tblW w:type="pct" w:w="5000.0"/>
        <w:tblLook w:firstRow="1" w:lastRow="0" w:firstColumn="0" w:lastColumn="0" w:noHBand="0" w:noVBand="0"/>
      </w:tblPr>
      <w:tblGrid>
        <w:gridCol w:w="674"/>
        <w:gridCol w:w="1263"/>
        <w:gridCol w:w="1516"/>
        <w:gridCol w:w="1685"/>
        <w:gridCol w:w="1516"/>
        <w:gridCol w:w="1263"/>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Lake Area (ha)</w:t>
            </w:r>
          </w:p>
        </w:tc>
        <w:tc>
          <w:tcPr>
            <w:tcBorders>
              <w:bottom w:val="single"/>
            </w:tcBorders>
            <w:vAlign w:val="bottom"/>
          </w:tcPr>
          <w:p>
            <w:pPr>
              <w:pStyle w:val="Compact"/>
              <w:jc w:val="right"/>
            </w:pPr>
            <w:r>
              <w:t xml:space="preserve">Maximum Depth (m)</w:t>
            </w:r>
          </w:p>
        </w:tc>
        <w:tc>
          <w:tcPr>
            <w:tcBorders>
              <w:bottom w:val="single"/>
            </w:tcBorders>
            <w:vAlign w:val="bottom"/>
          </w:tcPr>
          <w:p>
            <w:pPr>
              <w:pStyle w:val="Compact"/>
              <w:jc w:val="right"/>
            </w:pPr>
            <w:r>
              <w:t xml:space="preserve">Percent Agriculture</w:t>
            </w:r>
          </w:p>
        </w:tc>
        <w:tc>
          <w:tcPr>
            <w:tcBorders>
              <w:bottom w:val="single"/>
            </w:tcBorders>
            <w:vAlign w:val="bottom"/>
          </w:tcPr>
          <w:p>
            <w:pPr>
              <w:pStyle w:val="Compact"/>
              <w:jc w:val="right"/>
            </w:pPr>
            <w:r>
              <w:t xml:space="preserve">Percent Developed</w:t>
            </w:r>
          </w:p>
        </w:tc>
        <w:tc>
          <w:tcPr>
            <w:tcBorders>
              <w:bottom w:val="single"/>
            </w:tcBorders>
            <w:vAlign w:val="bottom"/>
          </w:tcPr>
          <w:p>
            <w:pPr>
              <w:pStyle w:val="Compact"/>
              <w:jc w:val="right"/>
            </w:pPr>
            <w:r>
              <w:t xml:space="preserve">Percent Forest</w:t>
            </w:r>
          </w:p>
        </w:tc>
      </w:tr>
      <w:tr>
        <w:tc>
          <w:p>
            <w:pPr>
              <w:pStyle w:val="Compact"/>
              <w:jc w:val="left"/>
            </w:pPr>
            <w:r>
              <w:t xml:space="preserve">URIWW</w:t>
            </w:r>
          </w:p>
        </w:tc>
        <w:tc>
          <w:p>
            <w:pPr>
              <w:pStyle w:val="Compact"/>
              <w:jc w:val="right"/>
            </w:pPr>
            <w:r>
              <w:t xml:space="preserve">15.1</w:t>
            </w:r>
          </w:p>
        </w:tc>
        <w:tc>
          <w:p>
            <w:pPr>
              <w:pStyle w:val="Compact"/>
              <w:jc w:val="right"/>
            </w:pPr>
            <w:r>
              <w:t xml:space="preserve">5.1</w:t>
            </w:r>
          </w:p>
        </w:tc>
        <w:tc>
          <w:p>
            <w:pPr>
              <w:pStyle w:val="Compact"/>
              <w:jc w:val="right"/>
            </w:pPr>
            <w:r>
              <w:t xml:space="preserve">5.6</w:t>
            </w:r>
          </w:p>
        </w:tc>
        <w:tc>
          <w:p>
            <w:pPr>
              <w:pStyle w:val="Compact"/>
              <w:jc w:val="right"/>
            </w:pPr>
            <w:r>
              <w:t xml:space="preserve">27.5</w:t>
            </w:r>
          </w:p>
        </w:tc>
        <w:tc>
          <w:p>
            <w:pPr>
              <w:pStyle w:val="Compact"/>
              <w:jc w:val="right"/>
            </w:pPr>
            <w:r>
              <w:t xml:space="preserve">40.7</w:t>
            </w:r>
          </w:p>
        </w:tc>
      </w:tr>
      <w:tr>
        <w:tc>
          <w:p>
            <w:pPr>
              <w:pStyle w:val="Compact"/>
              <w:jc w:val="left"/>
            </w:pPr>
            <w:r>
              <w:t xml:space="preserve">LAGOSNE</w:t>
            </w:r>
          </w:p>
        </w:tc>
        <w:tc>
          <w:p>
            <w:pPr>
              <w:pStyle w:val="Compact"/>
              <w:jc w:val="right"/>
            </w:pPr>
            <w:r>
              <w:t xml:space="preserve">27.9</w:t>
            </w:r>
          </w:p>
        </w:tc>
        <w:tc>
          <w:p>
            <w:pPr>
              <w:pStyle w:val="Compact"/>
              <w:jc w:val="right"/>
            </w:pPr>
            <w:r>
              <w:t xml:space="preserve">9.6</w:t>
            </w:r>
          </w:p>
        </w:tc>
        <w:tc>
          <w:p>
            <w:pPr>
              <w:pStyle w:val="Compact"/>
              <w:jc w:val="right"/>
            </w:pPr>
            <w:r>
              <w:t xml:space="preserve">19.3</w:t>
            </w:r>
          </w:p>
        </w:tc>
        <w:tc>
          <w:p>
            <w:pPr>
              <w:pStyle w:val="Compact"/>
              <w:jc w:val="right"/>
            </w:pPr>
            <w:r>
              <w:t xml:space="preserve">11.3</w:t>
            </w:r>
          </w:p>
        </w:tc>
        <w:tc>
          <w:p>
            <w:pPr>
              <w:pStyle w:val="Compact"/>
              <w:jc w:val="right"/>
            </w:pPr>
            <w:r>
              <w:t xml:space="preserve">41.2</w:t>
            </w:r>
          </w:p>
        </w:tc>
      </w:tr>
    </w:tbl>
    <w:p>
      <w:pPr>
        <w:pStyle w:val="BodyText"/>
      </w:pPr>
      <w:r>
        <w:t xml:space="preserve">Table 1: Average landscape context and lake morphometry summary statistics for lakes in URIWW and LAGOSNE.</w:t>
      </w:r>
    </w:p>
    <w:bookmarkStart w:id="141" w:name="section-1"/>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Temperature</w:t>
            </w:r>
          </w:p>
        </w:tc>
        <w:tc>
          <w:p>
            <w:pPr>
              <w:pStyle w:val="Compact"/>
              <w:jc w:val="left"/>
            </w:pPr>
            <w:r>
              <w:t xml:space="preserve">°C</w:t>
            </w:r>
          </w:p>
        </w:tc>
        <w:tc>
          <w:p>
            <w:pPr>
              <w:pStyle w:val="Compact"/>
              <w:jc w:val="right"/>
            </w:pPr>
            <w:r>
              <w:t xml:space="preserve">21.9</w:t>
            </w:r>
          </w:p>
        </w:tc>
        <w:tc>
          <w:p>
            <w:pPr>
              <w:pStyle w:val="Compact"/>
              <w:jc w:val="right"/>
            </w:pPr>
            <w:r>
              <w:t xml:space="preserve">22.80</w:t>
            </w:r>
          </w:p>
        </w:tc>
        <w:tc>
          <w:p>
            <w:pPr>
              <w:pStyle w:val="Compact"/>
              <w:jc w:val="right"/>
            </w:pPr>
            <w:r>
              <w:t xml:space="preserve">23.0</w:t>
            </w:r>
          </w:p>
        </w:tc>
        <w:tc>
          <w:p>
            <w:pPr>
              <w:pStyle w:val="Compact"/>
              <w:jc w:val="right"/>
            </w:pPr>
            <w:r>
              <w:t xml:space="preserve">24.0</w:t>
            </w:r>
          </w:p>
        </w:tc>
        <w:tc>
          <w:p>
            <w:pPr>
              <w:pStyle w:val="Compact"/>
              <w:jc w:val="right"/>
            </w:pPr>
            <w:r>
              <w:t xml:space="preserve">27.0</w:t>
            </w:r>
          </w:p>
        </w:tc>
        <w:tc>
          <w:p>
            <w:pPr>
              <w:pStyle w:val="Compact"/>
              <w:jc w:val="right"/>
            </w:pPr>
            <w:r>
              <w:t xml:space="preserve">1.9</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w:t>
            </w:r>
          </w:p>
        </w:tc>
        <w:tc>
          <w:p>
            <w:pPr>
              <w:pStyle w:val="Compact"/>
              <w:jc w:val="right"/>
            </w:pPr>
            <w:r>
              <w:t xml:space="preserve">580.00</w:t>
            </w:r>
          </w:p>
        </w:tc>
        <w:tc>
          <w:p>
            <w:pPr>
              <w:pStyle w:val="Compact"/>
              <w:jc w:val="right"/>
            </w:pPr>
            <w:r>
              <w:t xml:space="preserve">460.0</w:t>
            </w:r>
          </w:p>
        </w:tc>
        <w:tc>
          <w:p>
            <w:pPr>
              <w:pStyle w:val="Compact"/>
              <w:jc w:val="right"/>
            </w:pPr>
            <w:r>
              <w:t xml:space="preserve">660.0</w:t>
            </w:r>
          </w:p>
        </w:tc>
        <w:tc>
          <w:p>
            <w:pPr>
              <w:pStyle w:val="Compact"/>
              <w:jc w:val="right"/>
            </w:pPr>
            <w:r>
              <w:t xml:space="preserve">4415.0</w:t>
            </w:r>
          </w:p>
        </w:tc>
        <w:tc>
          <w:p>
            <w:pPr>
              <w:pStyle w:val="Compact"/>
              <w:jc w:val="right"/>
            </w:pPr>
            <w:r>
              <w:t xml:space="preserve">375.0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10.0</w:t>
            </w:r>
          </w:p>
        </w:tc>
        <w:tc>
          <w:p>
            <w:pPr>
              <w:pStyle w:val="Compact"/>
              <w:jc w:val="right"/>
            </w:pPr>
            <w:r>
              <w:t xml:space="preserve">22.00</w:t>
            </w:r>
          </w:p>
        </w:tc>
        <w:tc>
          <w:p>
            <w:pPr>
              <w:pStyle w:val="Compact"/>
              <w:jc w:val="right"/>
            </w:pPr>
            <w:r>
              <w:t xml:space="preserve">15.0</w:t>
            </w:r>
          </w:p>
        </w:tc>
        <w:tc>
          <w:p>
            <w:pPr>
              <w:pStyle w:val="Compact"/>
              <w:jc w:val="right"/>
            </w:pPr>
            <w:r>
              <w:t xml:space="preserve">22.0</w:t>
            </w:r>
          </w:p>
        </w:tc>
        <w:tc>
          <w:p>
            <w:pPr>
              <w:pStyle w:val="Compact"/>
              <w:jc w:val="right"/>
            </w:pPr>
            <w:r>
              <w:t xml:space="preserve">373.0</w:t>
            </w:r>
          </w:p>
        </w:tc>
        <w:tc>
          <w:p>
            <w:pPr>
              <w:pStyle w:val="Compact"/>
              <w:jc w:val="right"/>
            </w:pPr>
            <w:r>
              <w:t xml:space="preserve">28.0</w:t>
            </w:r>
          </w:p>
        </w:tc>
      </w:tr>
      <w:tr>
        <w:tc>
          <w:p>
            <w:pPr>
              <w:pStyle w:val="Compact"/>
              <w:jc w:val="left"/>
            </w:pPr>
            <w:r>
              <w:t xml:space="preserve">N:P</w:t>
            </w:r>
          </w:p>
        </w:tc>
        <w:tc>
          <w:p>
            <w:pPr>
              <w:pStyle w:val="Compact"/>
              <w:jc w:val="left"/>
            </w:pPr>
            <w:r>
              <w:t xml:space="preserve">molar</w:t>
            </w:r>
          </w:p>
        </w:tc>
        <w:tc>
          <w:p>
            <w:pPr>
              <w:pStyle w:val="Compact"/>
              <w:jc w:val="right"/>
            </w:pPr>
            <w:r>
              <w:t xml:space="preserve">51.0</w:t>
            </w:r>
          </w:p>
        </w:tc>
        <w:tc>
          <w:p>
            <w:pPr>
              <w:pStyle w:val="Compact"/>
              <w:jc w:val="right"/>
            </w:pPr>
            <w:r>
              <w:t xml:space="preserve">80.21</w:t>
            </w:r>
          </w:p>
        </w:tc>
        <w:tc>
          <w:p>
            <w:pPr>
              <w:pStyle w:val="Compact"/>
              <w:jc w:val="right"/>
            </w:pPr>
            <w:r>
              <w:t xml:space="preserve">68.1</w:t>
            </w:r>
          </w:p>
        </w:tc>
        <w:tc>
          <w:p>
            <w:pPr>
              <w:pStyle w:val="Compact"/>
              <w:jc w:val="right"/>
            </w:pPr>
            <w:r>
              <w:t xml:space="preserve">88.4</w:t>
            </w:r>
          </w:p>
        </w:tc>
        <w:tc>
          <w:p>
            <w:pPr>
              <w:pStyle w:val="Compact"/>
              <w:jc w:val="right"/>
            </w:pPr>
            <w:r>
              <w:t xml:space="preserve">1326.0</w:t>
            </w:r>
          </w:p>
        </w:tc>
        <w:tc>
          <w:p>
            <w:pPr>
              <w:pStyle w:val="Compact"/>
              <w:jc w:val="right"/>
            </w:pPr>
            <w:r>
              <w:t xml:space="preserve">69.5</w:t>
            </w:r>
          </w:p>
        </w:tc>
      </w:tr>
      <w:tr>
        <w:tc>
          <w:p>
            <w:pPr>
              <w:pStyle w:val="Compact"/>
              <w:jc w:val="left"/>
            </w:pPr>
            <w:r>
              <w:t xml:space="preserve">Chlorophyll</w:t>
            </w:r>
          </w:p>
        </w:tc>
        <w:tc>
          <w:p>
            <w:pPr>
              <w:pStyle w:val="Compact"/>
              <w:jc w:val="left"/>
            </w:pPr>
            <w:r>
              <w:t xml:space="preserve">µg/l</w:t>
            </w:r>
          </w:p>
        </w:tc>
        <w:tc>
          <w:p>
            <w:pPr>
              <w:pStyle w:val="Compact"/>
              <w:jc w:val="right"/>
            </w:pPr>
            <w:r>
              <w:t xml:space="preserve">2.0</w:t>
            </w:r>
          </w:p>
        </w:tc>
        <w:tc>
          <w:p>
            <w:pPr>
              <w:pStyle w:val="Compact"/>
              <w:jc w:val="right"/>
            </w:pPr>
            <w:r>
              <w:t xml:space="preserve">7.50</w:t>
            </w:r>
          </w:p>
        </w:tc>
        <w:tc>
          <w:p>
            <w:pPr>
              <w:pStyle w:val="Compact"/>
              <w:jc w:val="right"/>
            </w:pPr>
            <w:r>
              <w:t xml:space="preserve">3.5</w:t>
            </w:r>
          </w:p>
        </w:tc>
        <w:tc>
          <w:p>
            <w:pPr>
              <w:pStyle w:val="Compact"/>
              <w:jc w:val="right"/>
            </w:pPr>
            <w:r>
              <w:t xml:space="preserve">7.6</w:t>
            </w:r>
          </w:p>
        </w:tc>
        <w:tc>
          <w:p>
            <w:pPr>
              <w:pStyle w:val="Compact"/>
              <w:jc w:val="right"/>
            </w:pPr>
            <w:r>
              <w:t xml:space="preserve">134.5</w:t>
            </w:r>
          </w:p>
        </w:tc>
        <w:tc>
          <w:p>
            <w:pPr>
              <w:pStyle w:val="Compact"/>
              <w:jc w:val="right"/>
            </w:pPr>
            <w:r>
              <w:t xml:space="preserve">11.7</w:t>
            </w:r>
          </w:p>
        </w:tc>
      </w:tr>
    </w:tbl>
    <w:p>
      <w:pPr>
        <w:pStyle w:val="BodyText"/>
      </w:pPr>
      <w:r>
        <w:t xml:space="preserve">Table 2: Summary statistics for URI Watershed Watch data from 1993 to 2016.</w:t>
      </w:r>
    </w:p>
    <w:bookmarkEnd w:id="141"/>
    <w:bookmarkStart w:id="142" w:name="section-2"/>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Units</w:t>
            </w:r>
          </w:p>
        </w:tc>
        <w:tc>
          <w:tcPr>
            <w:tcBorders>
              <w:bottom w:val="single"/>
            </w:tcBorders>
            <w:vAlign w:val="bottom"/>
          </w:tcPr>
          <w:p>
            <w:pPr>
              <w:pStyle w:val="Compact"/>
              <w:jc w:val="right"/>
            </w:pPr>
            <w:r>
              <w:t xml:space="preserve">25th Percentile</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75th Percentile</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Std. Dev</w:t>
            </w:r>
          </w:p>
        </w:tc>
      </w:tr>
      <w:tr>
        <w:tc>
          <w:p>
            <w:pPr>
              <w:pStyle w:val="Compact"/>
              <w:jc w:val="left"/>
            </w:pPr>
            <w:r>
              <w:t xml:space="preserve">Total Nitrogen</w:t>
            </w:r>
          </w:p>
        </w:tc>
        <w:tc>
          <w:p>
            <w:pPr>
              <w:pStyle w:val="Compact"/>
              <w:jc w:val="left"/>
            </w:pPr>
            <w:r>
              <w:t xml:space="preserve">µg/l</w:t>
            </w:r>
          </w:p>
        </w:tc>
        <w:tc>
          <w:p>
            <w:pPr>
              <w:pStyle w:val="Compact"/>
              <w:jc w:val="right"/>
            </w:pPr>
            <w:r>
              <w:t xml:space="preserve">370.00</w:t>
            </w:r>
          </w:p>
        </w:tc>
        <w:tc>
          <w:p>
            <w:pPr>
              <w:pStyle w:val="Compact"/>
              <w:jc w:val="right"/>
            </w:pPr>
            <w:r>
              <w:t xml:space="preserve">725.00</w:t>
            </w:r>
          </w:p>
        </w:tc>
        <w:tc>
          <w:p>
            <w:pPr>
              <w:pStyle w:val="Compact"/>
              <w:jc w:val="right"/>
            </w:pPr>
            <w:r>
              <w:t xml:space="preserve">560.00</w:t>
            </w:r>
          </w:p>
        </w:tc>
        <w:tc>
          <w:p>
            <w:pPr>
              <w:pStyle w:val="Compact"/>
              <w:jc w:val="right"/>
            </w:pPr>
            <w:r>
              <w:t xml:space="preserve">890.0</w:t>
            </w:r>
          </w:p>
        </w:tc>
        <w:tc>
          <w:p>
            <w:pPr>
              <w:pStyle w:val="Compact"/>
              <w:jc w:val="right"/>
            </w:pPr>
            <w:r>
              <w:t xml:space="preserve">10100.0</w:t>
            </w:r>
          </w:p>
        </w:tc>
        <w:tc>
          <w:p>
            <w:pPr>
              <w:pStyle w:val="Compact"/>
              <w:jc w:val="right"/>
            </w:pPr>
            <w:r>
              <w:t xml:space="preserve">680.00</w:t>
            </w:r>
          </w:p>
        </w:tc>
      </w:tr>
      <w:tr>
        <w:tc>
          <w:p>
            <w:pPr>
              <w:pStyle w:val="Compact"/>
              <w:jc w:val="left"/>
            </w:pPr>
            <w:r>
              <w:t xml:space="preserve">Total Phosphorus</w:t>
            </w:r>
          </w:p>
        </w:tc>
        <w:tc>
          <w:p>
            <w:pPr>
              <w:pStyle w:val="Compact"/>
              <w:jc w:val="left"/>
            </w:pPr>
            <w:r>
              <w:t xml:space="preserve">µg/l</w:t>
            </w:r>
          </w:p>
        </w:tc>
        <w:tc>
          <w:p>
            <w:pPr>
              <w:pStyle w:val="Compact"/>
              <w:jc w:val="right"/>
            </w:pPr>
            <w:r>
              <w:t xml:space="preserve">11.00</w:t>
            </w:r>
          </w:p>
        </w:tc>
        <w:tc>
          <w:p>
            <w:pPr>
              <w:pStyle w:val="Compact"/>
              <w:jc w:val="right"/>
            </w:pPr>
            <w:r>
              <w:t xml:space="preserve">29.00</w:t>
            </w:r>
          </w:p>
        </w:tc>
        <w:tc>
          <w:p>
            <w:pPr>
              <w:pStyle w:val="Compact"/>
              <w:jc w:val="right"/>
            </w:pPr>
            <w:r>
              <w:t xml:space="preserve">16.00</w:t>
            </w:r>
          </w:p>
        </w:tc>
        <w:tc>
          <w:p>
            <w:pPr>
              <w:pStyle w:val="Compact"/>
              <w:jc w:val="right"/>
            </w:pPr>
            <w:r>
              <w:t xml:space="preserve">28.0</w:t>
            </w:r>
          </w:p>
        </w:tc>
        <w:tc>
          <w:p>
            <w:pPr>
              <w:pStyle w:val="Compact"/>
              <w:jc w:val="right"/>
            </w:pPr>
            <w:r>
              <w:t xml:space="preserve">848.0</w:t>
            </w:r>
          </w:p>
        </w:tc>
        <w:tc>
          <w:p>
            <w:pPr>
              <w:pStyle w:val="Compact"/>
              <w:jc w:val="right"/>
            </w:pPr>
            <w:r>
              <w:t xml:space="preserve">43.00</w:t>
            </w:r>
          </w:p>
        </w:tc>
      </w:tr>
      <w:tr>
        <w:tc>
          <w:p>
            <w:pPr>
              <w:pStyle w:val="Compact"/>
              <w:jc w:val="left"/>
            </w:pPr>
            <w:r>
              <w:t xml:space="preserve">N:P</w:t>
            </w:r>
          </w:p>
        </w:tc>
        <w:tc>
          <w:p>
            <w:pPr>
              <w:pStyle w:val="Compact"/>
              <w:jc w:val="left"/>
            </w:pPr>
            <w:r>
              <w:t xml:space="preserve">molar</w:t>
            </w:r>
          </w:p>
        </w:tc>
        <w:tc>
          <w:p>
            <w:pPr>
              <w:pStyle w:val="Compact"/>
              <w:jc w:val="right"/>
            </w:pPr>
            <w:r>
              <w:t xml:space="preserve">43.23</w:t>
            </w:r>
          </w:p>
        </w:tc>
        <w:tc>
          <w:p>
            <w:pPr>
              <w:pStyle w:val="Compact"/>
              <w:jc w:val="right"/>
            </w:pPr>
            <w:r>
              <w:t xml:space="preserve">77.59</w:t>
            </w:r>
          </w:p>
        </w:tc>
        <w:tc>
          <w:p>
            <w:pPr>
              <w:pStyle w:val="Compact"/>
              <w:jc w:val="right"/>
            </w:pPr>
            <w:r>
              <w:t xml:space="preserve">61.95</w:t>
            </w:r>
          </w:p>
        </w:tc>
        <w:tc>
          <w:p>
            <w:pPr>
              <w:pStyle w:val="Compact"/>
              <w:jc w:val="right"/>
            </w:pPr>
            <w:r>
              <w:t xml:space="preserve">89.8</w:t>
            </w:r>
          </w:p>
        </w:tc>
        <w:tc>
          <w:p>
            <w:pPr>
              <w:pStyle w:val="Compact"/>
              <w:jc w:val="right"/>
            </w:pPr>
            <w:r>
              <w:t xml:space="preserve">1246.5</w:t>
            </w:r>
          </w:p>
        </w:tc>
        <w:tc>
          <w:p>
            <w:pPr>
              <w:pStyle w:val="Compact"/>
              <w:jc w:val="right"/>
            </w:pPr>
            <w:r>
              <w:t xml:space="preserve">65.33</w:t>
            </w:r>
          </w:p>
        </w:tc>
      </w:tr>
      <w:tr>
        <w:tc>
          <w:p>
            <w:pPr>
              <w:pStyle w:val="Compact"/>
              <w:jc w:val="left"/>
            </w:pPr>
            <w:r>
              <w:t xml:space="preserve">Chlorophyll</w:t>
            </w:r>
          </w:p>
        </w:tc>
        <w:tc>
          <w:p>
            <w:pPr>
              <w:pStyle w:val="Compact"/>
              <w:jc w:val="left"/>
            </w:pPr>
            <w:r>
              <w:t xml:space="preserve">µg/l</w:t>
            </w:r>
          </w:p>
        </w:tc>
        <w:tc>
          <w:p>
            <w:pPr>
              <w:pStyle w:val="Compact"/>
              <w:jc w:val="right"/>
            </w:pPr>
            <w:r>
              <w:t xml:space="preserve">3.40</w:t>
            </w:r>
          </w:p>
        </w:tc>
        <w:tc>
          <w:p>
            <w:pPr>
              <w:pStyle w:val="Compact"/>
              <w:jc w:val="right"/>
            </w:pPr>
            <w:r>
              <w:t xml:space="preserve">14.90</w:t>
            </w:r>
          </w:p>
        </w:tc>
        <w:tc>
          <w:p>
            <w:pPr>
              <w:pStyle w:val="Compact"/>
              <w:jc w:val="right"/>
            </w:pPr>
            <w:r>
              <w:t xml:space="preserve">6.50</w:t>
            </w:r>
          </w:p>
        </w:tc>
        <w:tc>
          <w:p>
            <w:pPr>
              <w:pStyle w:val="Compact"/>
              <w:jc w:val="right"/>
            </w:pPr>
            <w:r>
              <w:t xml:space="preserve">16.2</w:t>
            </w:r>
          </w:p>
        </w:tc>
        <w:tc>
          <w:p>
            <w:pPr>
              <w:pStyle w:val="Compact"/>
              <w:jc w:val="right"/>
            </w:pPr>
            <w:r>
              <w:t xml:space="preserve">360.0</w:t>
            </w:r>
          </w:p>
        </w:tc>
        <w:tc>
          <w:p>
            <w:pPr>
              <w:pStyle w:val="Compact"/>
              <w:jc w:val="right"/>
            </w:pPr>
            <w:r>
              <w:t xml:space="preserve">23.00</w:t>
            </w:r>
          </w:p>
        </w:tc>
      </w:tr>
    </w:tbl>
    <w:p>
      <w:pPr>
        <w:pStyle w:val="BodyText"/>
      </w:pPr>
      <w:r>
        <w:t xml:space="preserve">Table 3: Summary statistics for LAGOSNE data from 1993 to 2016.</w:t>
      </w:r>
    </w:p>
    <w:bookmarkEnd w:id="142"/>
    <w:bookmarkStart w:id="143" w:name="section-3"/>
    <w:p>
      <w:pPr>
        <w:pStyle w:val="Heading6"/>
      </w:pP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Oligotrophic</w:t>
            </w:r>
          </w:p>
        </w:tc>
        <w:tc>
          <w:tcPr>
            <w:tcBorders>
              <w:bottom w:val="single"/>
            </w:tcBorders>
            <w:vAlign w:val="bottom"/>
          </w:tcPr>
          <w:p>
            <w:pPr>
              <w:pStyle w:val="Compact"/>
              <w:jc w:val="right"/>
            </w:pPr>
            <w:r>
              <w:t xml:space="preserve">Mesotrophic</w:t>
            </w:r>
          </w:p>
        </w:tc>
        <w:tc>
          <w:tcPr>
            <w:tcBorders>
              <w:bottom w:val="single"/>
            </w:tcBorders>
            <w:vAlign w:val="bottom"/>
          </w:tcPr>
          <w:p>
            <w:pPr>
              <w:pStyle w:val="Compact"/>
              <w:jc w:val="right"/>
            </w:pPr>
            <w:r>
              <w:t xml:space="preserve">Eutrophic</w:t>
            </w:r>
          </w:p>
        </w:tc>
        <w:tc>
          <w:tcPr>
            <w:tcBorders>
              <w:bottom w:val="single"/>
            </w:tcBorders>
            <w:vAlign w:val="bottom"/>
          </w:tcPr>
          <w:p>
            <w:pPr>
              <w:pStyle w:val="Compact"/>
              <w:jc w:val="right"/>
            </w:pPr>
            <w:r>
              <w:t xml:space="preserve">Hypereutrophic</w:t>
            </w:r>
          </w:p>
        </w:tc>
      </w:tr>
      <w:tr>
        <w:tc>
          <w:p>
            <w:pPr>
              <w:pStyle w:val="Compact"/>
              <w:jc w:val="left"/>
            </w:pPr>
            <w:r>
              <w:t xml:space="preserve">URIWW</w:t>
            </w:r>
          </w:p>
        </w:tc>
        <w:tc>
          <w:p>
            <w:pPr>
              <w:pStyle w:val="Compact"/>
              <w:jc w:val="right"/>
            </w:pPr>
            <w:r>
              <w:t xml:space="preserve">21.4</w:t>
            </w:r>
          </w:p>
        </w:tc>
        <w:tc>
          <w:p>
            <w:pPr>
              <w:pStyle w:val="Compact"/>
              <w:jc w:val="right"/>
            </w:pPr>
            <w:r>
              <w:t xml:space="preserve">42.9</w:t>
            </w:r>
          </w:p>
        </w:tc>
        <w:tc>
          <w:p>
            <w:pPr>
              <w:pStyle w:val="Compact"/>
              <w:jc w:val="right"/>
            </w:pPr>
            <w:r>
              <w:t xml:space="preserve">20.2</w:t>
            </w:r>
          </w:p>
        </w:tc>
        <w:tc>
          <w:p>
            <w:pPr>
              <w:pStyle w:val="Compact"/>
              <w:jc w:val="right"/>
            </w:pPr>
            <w:r>
              <w:t xml:space="preserve">15.5</w:t>
            </w:r>
          </w:p>
        </w:tc>
      </w:tr>
      <w:tr>
        <w:tc>
          <w:p>
            <w:pPr>
              <w:pStyle w:val="Compact"/>
              <w:jc w:val="left"/>
            </w:pPr>
            <w:r>
              <w:t xml:space="preserve">LAGOSNE</w:t>
            </w:r>
          </w:p>
        </w:tc>
        <w:tc>
          <w:p>
            <w:pPr>
              <w:pStyle w:val="Compact"/>
              <w:jc w:val="right"/>
            </w:pPr>
            <w:r>
              <w:t xml:space="preserve">9.7</w:t>
            </w:r>
          </w:p>
        </w:tc>
        <w:tc>
          <w:p>
            <w:pPr>
              <w:pStyle w:val="Compact"/>
              <w:jc w:val="right"/>
            </w:pPr>
            <w:r>
              <w:t xml:space="preserve">37.6</w:t>
            </w:r>
          </w:p>
        </w:tc>
        <w:tc>
          <w:p>
            <w:pPr>
              <w:pStyle w:val="Compact"/>
              <w:jc w:val="right"/>
            </w:pPr>
            <w:r>
              <w:t xml:space="preserve">26.1</w:t>
            </w:r>
          </w:p>
        </w:tc>
        <w:tc>
          <w:p>
            <w:pPr>
              <w:pStyle w:val="Compact"/>
              <w:jc w:val="right"/>
            </w:pPr>
            <w:r>
              <w:t xml:space="preserve">26.7</w:t>
            </w:r>
          </w:p>
        </w:tc>
      </w:tr>
    </w:tbl>
    <w:p>
      <w:pPr>
        <w:pStyle w:val="BodyText"/>
      </w:pPr>
      <w:r>
        <w:t xml:space="preserve">Table 4: Percentage of lakes and reservoirs in different chlorophyll based trophic states.</w:t>
      </w:r>
    </w:p>
    <w:bookmarkEnd w:id="143"/>
    <w:bookmarkStart w:id="144" w:name="section-4"/>
    <w:p>
      <w:pPr>
        <w:pStyle w:val="Heading6"/>
      </w:pPr>
    </w:p>
    <w:tbl>
      <w:tblPr>
        <w:tblStyle w:val="Table"/>
        <w:tblW w:type="pct" w:w="5000.0"/>
        <w:tblLook w:firstRow="1" w:lastRow="0" w:firstColumn="0" w:lastColumn="0" w:noHBand="0" w:noVBand="0"/>
      </w:tblPr>
      <w:tblGrid>
        <w:gridCol w:w="754"/>
        <w:gridCol w:w="1131"/>
        <w:gridCol w:w="1131"/>
        <w:gridCol w:w="1414"/>
        <w:gridCol w:w="1602"/>
        <w:gridCol w:w="1885"/>
      </w:tblGrid>
      <w:tr>
        <w:trPr>
          <w:cnfStyle w:firstRow="1"/>
        </w:trPr>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Temperautre</w:t>
            </w:r>
          </w:p>
        </w:tc>
        <w:tc>
          <w:tcPr>
            <w:tcBorders>
              <w:bottom w:val="single"/>
            </w:tcBorders>
            <w:vAlign w:val="bottom"/>
          </w:tcPr>
          <w:p>
            <w:pPr>
              <w:pStyle w:val="Compact"/>
              <w:jc w:val="left"/>
            </w:pPr>
            <w:r>
              <w:t xml:space="preserve">Chlorophyll</w:t>
            </w:r>
          </w:p>
        </w:tc>
        <w:tc>
          <w:tcPr>
            <w:tcBorders>
              <w:bottom w:val="single"/>
            </w:tcBorders>
            <w:vAlign w:val="bottom"/>
          </w:tcPr>
          <w:p>
            <w:pPr>
              <w:pStyle w:val="Compact"/>
              <w:jc w:val="left"/>
            </w:pPr>
            <w:r>
              <w:t xml:space="preserve">Total Nitrogen</w:t>
            </w:r>
          </w:p>
        </w:tc>
        <w:tc>
          <w:tcPr>
            <w:tcBorders>
              <w:bottom w:val="single"/>
            </w:tcBorders>
            <w:vAlign w:val="bottom"/>
          </w:tcPr>
          <w:p>
            <w:pPr>
              <w:pStyle w:val="Compact"/>
              <w:jc w:val="left"/>
            </w:pPr>
            <w:r>
              <w:t xml:space="preserve">Total Phosphorus</w:t>
            </w:r>
          </w:p>
        </w:tc>
        <w:tc>
          <w:tcPr>
            <w:tcBorders>
              <w:bottom w:val="single"/>
            </w:tcBorders>
            <w:vAlign w:val="bottom"/>
          </w:tcPr>
          <w:p>
            <w:pPr>
              <w:pStyle w:val="Compact"/>
              <w:jc w:val="left"/>
            </w:pPr>
            <w:r>
              <w:t xml:space="preserve">Nitrogen:Phosphorus</w:t>
            </w:r>
          </w:p>
        </w:tc>
      </w:tr>
      <w:tr>
        <w:tc>
          <w:p>
            <w:pPr>
              <w:pStyle w:val="Compact"/>
              <w:jc w:val="left"/>
            </w:pPr>
            <w:r>
              <w:t xml:space="preserve">URIWW</w:t>
            </w:r>
          </w:p>
        </w:tc>
        <w:tc>
          <w:p>
            <w:pPr>
              <w:pStyle w:val="Compact"/>
              <w:jc w:val="left"/>
            </w:pPr>
            <w:r>
              <w:t xml:space="preserve">++</w:t>
            </w:r>
          </w:p>
        </w:tc>
        <w:tc>
          <w:p>
            <w:pPr>
              <w:pStyle w:val="Compact"/>
              <w:jc w:val="left"/>
            </w:pPr>
            <w:r>
              <w:t xml:space="preserve">++</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LAGOSNE</w:t>
            </w:r>
          </w:p>
        </w:tc>
        <w:tc>
          <w:p/>
        </w:tc>
        <w:tc>
          <w:p>
            <w:pPr>
              <w:pStyle w:val="Compact"/>
              <w:jc w:val="left"/>
            </w:pPr>
            <w:r>
              <w:t xml:space="preserve">0</w:t>
            </w:r>
          </w:p>
        </w:tc>
        <w:tc>
          <w:p>
            <w:pPr>
              <w:pStyle w:val="Compact"/>
              <w:jc w:val="left"/>
            </w:pPr>
            <w:r>
              <w:t xml:space="preserve">0</w:t>
            </w:r>
          </w:p>
        </w:tc>
        <w:tc>
          <w:p>
            <w:pPr>
              <w:pStyle w:val="Compact"/>
              <w:jc w:val="left"/>
            </w:pPr>
            <w:r>
              <w:t xml:space="preserve">+</w:t>
            </w:r>
          </w:p>
        </w:tc>
        <w:tc>
          <w:p>
            <w:pPr>
              <w:pStyle w:val="Compact"/>
              <w:jc w:val="left"/>
            </w:pPr>
            <w:r>
              <w:t xml:space="preserve">0</w:t>
            </w:r>
          </w:p>
        </w:tc>
      </w:tr>
    </w:tbl>
    <w:p>
      <w:pPr>
        <w:pStyle w:val="BodyText"/>
      </w:pPr>
      <w:r>
        <w:t xml:space="preserve">Table 5: Summary of long term water quality trends in the URIWW and LAGOSNE data. The</w:t>
      </w:r>
      <w:r>
        <w:t xml:space="preserve"> </w:t>
      </w:r>
      <w:r>
        <w:t xml:space="preserve">“</w:t>
      </w:r>
      <w:r>
        <w:t xml:space="preserve">++</w:t>
      </w:r>
      <w:r>
        <w:t xml:space="preserve">”</w:t>
      </w:r>
      <w:r>
        <w:t xml:space="preserve"> </w:t>
      </w:r>
      <w:r>
        <w:t xml:space="preserve">indicate a positive trend, the</w:t>
      </w:r>
      <w:r>
        <w:t xml:space="preserve"> </w:t>
      </w:r>
      <w:r>
        <w:t xml:space="preserve">“</w:t>
      </w:r>
      <w:r>
        <w:t xml:space="preserve">+</w:t>
      </w:r>
      <w:r>
        <w:t xml:space="preserve">”</w:t>
      </w:r>
      <w:r>
        <w:t xml:space="preserve"> </w:t>
      </w:r>
      <w:r>
        <w:t xml:space="preserve">indicates a weak positive trend, and the</w:t>
      </w:r>
      <w:r>
        <w:t xml:space="preserve"> </w:t>
      </w:r>
      <w:r>
        <w:t xml:space="preserve">“</w:t>
      </w:r>
      <w:r>
        <w:t xml:space="preserve">0</w:t>
      </w:r>
      <w:r>
        <w:t xml:space="preserve">”</w:t>
      </w:r>
      <w:r>
        <w:t xml:space="preserve"> </w:t>
      </w:r>
      <w:r>
        <w:t xml:space="preserve">indicates no trend.</w:t>
      </w:r>
    </w:p>
    <w:bookmarkEnd w:id="144"/>
    <w:bookmarkStart w:id="145" w:name="section-5"/>
    <w:p>
      <w:pPr>
        <w:pStyle w:val="Heading6"/>
      </w:pPr>
    </w:p>
    <w:bookmarkEnd w:id="145"/>
    <w:bookmarkEnd w:id="146"/>
    <w:bookmarkStart w:id="164" w:name="figures"/>
    <w:p>
      <w:pPr>
        <w:pStyle w:val="Heading1"/>
      </w:pPr>
      <w:r>
        <w:t xml:space="preserve">Figures</w:t>
      </w:r>
    </w:p>
    <w:p>
      <w:pPr>
        <w:pStyle w:val="FirstParagraph"/>
      </w:pPr>
      <w:r>
        <w:drawing>
          <wp:inline>
            <wp:extent cx="5943600" cy="7691717"/>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4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1: Map of URI Watershed Watch lake and reservoir sampling sites</w:t>
      </w:r>
    </w:p>
    <w:bookmarkStart w:id="149" w:name="section-6"/>
    <w:p>
      <w:pPr>
        <w:pStyle w:val="Heading6"/>
      </w:pPr>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48"/>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bookmarkEnd w:id="149"/>
    <w:bookmarkStart w:id="151" w:name="section-7"/>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sample_sizes.jpg" id="0" name="Picture"/>
                    <pic:cNvPicPr>
                      <a:picLocks noChangeArrowheads="1" noChangeAspect="1"/>
                    </pic:cNvPicPr>
                  </pic:nvPicPr>
                  <pic:blipFill>
                    <a:blip r:embed="rId150"/>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t xml:space="preserve">Figure 3: Number of sites available for trend analysis by parameter and year for both URIWW and LAGOSNE.</w:t>
      </w:r>
    </w:p>
    <w:bookmarkEnd w:id="151"/>
    <w:bookmarkStart w:id="153" w:name="section-8"/>
    <w:p>
      <w:pPr>
        <w:pStyle w:val="Heading6"/>
      </w:pPr>
    </w:p>
    <w:p>
      <w:pPr>
        <w:pStyle w:val="FirstParagraph"/>
      </w:pPr>
      <w:r>
        <w:drawing>
          <wp:inline>
            <wp:extent cx="5943600" cy="3845858"/>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52"/>
                    <a:stretch>
                      <a:fillRect/>
                    </a:stretch>
                  </pic:blipFill>
                  <pic:spPr bwMode="auto">
                    <a:xfrm>
                      <a:off x="0" y="0"/>
                      <a:ext cx="5943600" cy="3845858"/>
                    </a:xfrm>
                    <a:prstGeom prst="rect">
                      <a:avLst/>
                    </a:prstGeom>
                    <a:noFill/>
                    <a:ln w="9525">
                      <a:noFill/>
                      <a:headEnd/>
                      <a:tailEnd/>
                    </a:ln>
                  </pic:spPr>
                </pic:pic>
              </a:graphicData>
            </a:graphic>
          </wp:inline>
        </w:drawing>
      </w:r>
      <w:r>
        <w:t xml:space="preserve"> </w:t>
      </w:r>
      <w:r>
        <w:t xml:space="preserve">Figure 4: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3"/>
    <w:bookmarkStart w:id="155" w:name="section-9"/>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5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5: Twenty year trend for median chlorophyll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5"/>
    <w:bookmarkStart w:id="157" w:name="section-10"/>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5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6: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7"/>
    <w:bookmarkStart w:id="159" w:name="section-11"/>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5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7: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9"/>
    <w:bookmarkStart w:id="161" w:name="section-12"/>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6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8: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61"/>
    <w:bookmarkStart w:id="163" w:name="section-13"/>
    <w:p>
      <w:pPr>
        <w:pStyle w:val="Heading6"/>
      </w:pPr>
    </w:p>
    <w:p>
      <w:pPr>
        <w:pStyle w:val="FirstParagraph"/>
      </w:pPr>
      <w:r>
        <w:drawing>
          <wp:inline>
            <wp:extent cx="5943600" cy="7691717"/>
            <wp:effectExtent b="0" l="0" r="0" t="0"/>
            <wp:docPr descr="" title="" id="1" name="Picture"/>
            <a:graphic>
              <a:graphicData uri="http://schemas.openxmlformats.org/drawingml/2006/picture">
                <pic:pic>
                  <pic:nvPicPr>
                    <pic:cNvPr descr="../../figures/simulated_data_analysis.jpg" id="0" name="Picture"/>
                    <pic:cNvPicPr>
                      <a:picLocks noChangeArrowheads="1" noChangeAspect="1"/>
                    </pic:cNvPicPr>
                  </pic:nvPicPr>
                  <pic:blipFill>
                    <a:blip r:embed="rId16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t xml:space="preserve">Figure 9: Panel A. Simulated, random data showing example of three hypothetical lakes; one lake was monitored throughout the record, one lake with low reported values monitored early in the record, and another lake with high reported values monitored late in the record. Panel B. Analysis of simulated, random data with one lake monitored throughout the record, one lake with low reported values monitored early in the record, and another lake with high reported values monitored late in the record. Yearly average of the actual values is shown in red and yearly average of the site-specific anomalies is shown in blue.</w:t>
      </w:r>
    </w:p>
    <w:bookmarkEnd w:id="163"/>
    <w:bookmarkEnd w:id="164"/>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156" Target="media/rId156.jpg" /><Relationship Type="http://schemas.openxmlformats.org/officeDocument/2006/relationships/image" Id="rId158" Target="media/rId158.jpg" /><Relationship Type="http://schemas.openxmlformats.org/officeDocument/2006/relationships/image" Id="rId150" Target="media/rId150.jpg" /><Relationship Type="http://schemas.openxmlformats.org/officeDocument/2006/relationships/image" Id="rId162" Target="media/rId162.jpg" /><Relationship Type="http://schemas.openxmlformats.org/officeDocument/2006/relationships/image" Id="rId147" Target="media/rId147.jpg" /><Relationship Type="http://schemas.openxmlformats.org/officeDocument/2006/relationships/image" Id="rId152" Target="media/rId152.jpg" /><Relationship Type="http://schemas.openxmlformats.org/officeDocument/2006/relationships/hyperlink" Id="rId114" Target="https://cran.r-project.org/package=LAGOSNE" TargetMode="External" /><Relationship Type="http://schemas.openxmlformats.org/officeDocument/2006/relationships/hyperlink" Id="rId22" Target="https://doi.org/10.5281/zenodo.405027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114" Target="https://cran.r-project.org/package=LAGOSNE" TargetMode="External" /><Relationship Type="http://schemas.openxmlformats.org/officeDocument/2006/relationships/hyperlink" Id="rId22" Target="https://doi.org/10.5281/zenodo.405027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D. 3, Milstead, W. B. 1, Herron, E. 2, Green, L. 2, Gold, A. 2; Corresponding author: hollister.jeff@epa.gov</dc:creator>
  <cp:keywords/>
  <dcterms:created xsi:type="dcterms:W3CDTF">2020-12-04T17:58:55Z</dcterms:created>
  <dcterms:modified xsi:type="dcterms:W3CDTF">2020-12-04T17:58:55Z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use the University of Rhode Island’s Watershed Watch Volunteer Monitoring Program (URIWW) dataset to determine if there are sub-regional (i.e. 3000km2) water quality trends. URIWW has collected water quality data on Rhode Island lakes and reservoirs for over 25 years. The LAGOSNE and URIWW datasets allow for comparison of water quality trends at regional and sub-regional scales, respectively. We assess regional (LAGOSNE) and sub-regional (URIWW) trends with yearly median anomalies calculated on a per-station basis. Sub-regionally, temperature and chlorophyll a increased from 1993 to 2016. Total nitrogen, total phosphorus and the nitrogen:phosphorus ratio (N:P) were stable. At the regional scale, the LAGOSNE dataset shows similar trends to prior studies of the LAGOSNE with chlorophyll a, total nitrogen, and N:P all stable over time. Total phosphorus does show a very slight increase. In short, algal biomass, as measured by chlorophyll a in Rhode Island lakes and reservoirs is increasing, despite stability in total nitrogen, total phosphorus, and the nitrogen to phosphorus ratio. Additionally, we demonstrate both the value of long-term monitoring programs, like URIWW, for identifying trends in environmental condition, and the utility of site-specific anomalies for analyzing for long-term water quality trends.Keywords: Volunteer Monitoring, community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